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2502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</w:t>
      </w:r>
      <w:r>
        <w:rPr>
          <w:rFonts w:hint="default" w:ascii="宋体" w:hAnsi="宋体" w:eastAsia="宋体" w:cs="宋体"/>
          <w:b/>
          <w:bCs/>
          <w:color w:val="000000"/>
          <w:sz w:val="36"/>
          <w:szCs w:val="36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Hans"/>
        </w:rPr>
        <w:t>Ho</w:t>
      </w:r>
      <w:r>
        <w:rPr>
          <w:rFonts w:hint="default" w:ascii="宋体" w:hAnsi="宋体" w:eastAsia="宋体" w:cs="宋体"/>
          <w:b/>
          <w:bCs/>
          <w:color w:val="000000"/>
          <w:sz w:val="36"/>
          <w:szCs w:val="36"/>
          <w:lang w:eastAsia="zh-Hans"/>
        </w:rPr>
        <w:t>w many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4DF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248421A1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Unit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Hans"/>
              </w:rPr>
              <w:t>Ho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lang w:eastAsia="zh-Hans"/>
              </w:rPr>
              <w:t xml:space="preserve">w many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4FE1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2AA920B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19A2105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语言能力：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在语境中感知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理解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准确朗读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thirteen、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fourteen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fifteen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sixteen等词汇之后并能熟练运用“how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 many...do you have? I have...”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询问和表达物体的数量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进而在语境中发现字母l在单词中的发音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并根据发音规则准确朗读同类型单词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能读懂story故事文本和cartoon故事文本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通过对比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借助图表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模仿改编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。</w:t>
            </w:r>
          </w:p>
          <w:p w14:paraId="6DF4F51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817F7C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文化意识：在学会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介绍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自己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所拥有的物品以及数量之后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能询问朋友的物品数量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，进一步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理解朋友之间应该互相分享和帮助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在活动中养成团队合作的精神和集体意识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在介绍自己喜欢的东西的同时养成乐于与同伴分享的意识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。</w:t>
            </w:r>
          </w:p>
          <w:p w14:paraId="37F71EB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</w:pPr>
          </w:p>
          <w:p w14:paraId="56A4E82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思维品质：建构本单元基于大概念的结构化知识，培养探究性、逻辑性、批判性、创造性高阶思维品质。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通过对“收藏品”的丰富和多元的输出巩固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单元的重要句型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I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have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...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引导学生进一步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运用句型熟练介绍自己所拥有物品的数量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达成思维的准确性和灵活性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最后通过思维导图与同伴对话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介绍自己的收藏品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询问同伴的收藏品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达成思维的创造性和深刻性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。</w:t>
            </w:r>
          </w:p>
          <w:p w14:paraId="5139C68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C89232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学习能力：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在语境中学习词汇和句型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;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通过比较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分析和总结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进行概括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绘制并完善“收藏品”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反思和巩固有效的理解或表达策略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续编文本内容并展开合理想象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迁移文本所学，获得终身受益的学习能力。</w:t>
            </w:r>
          </w:p>
          <w:p w14:paraId="0EDB8CB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04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1671DF4D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5587836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能利用各种作业形式，在填词的过程中复习巩固本单元重点句型和词汇，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熟练表达数字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eastAsia="zh-Hans" w:bidi="ar-SA"/>
              </w:rPr>
              <w:t>1-19。</w:t>
            </w:r>
          </w:p>
          <w:p w14:paraId="5F16134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16644C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通过作业，复习和巩固所学本单元的词汇和句型，并在情景中运用，能准确书写词汇、句型。</w:t>
            </w:r>
          </w:p>
          <w:p w14:paraId="24BED52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298D76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通过阅读作业，能阅读与教材话题相关的语篇，读懂内容大意，丰富对单元主题的理解，提升阅读兴趣。</w:t>
            </w:r>
          </w:p>
          <w:p w14:paraId="367AD1F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A0800B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通过作业，能主动搜集生活中与本单元主题相关的信息，如更多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玩具物品的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英语表达方式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以及数字二十以外的英语表达方式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等。</w:t>
            </w:r>
          </w:p>
          <w:p w14:paraId="2ED39FE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EACFAB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通过作业，能围绕主题完成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调查表格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并准确的做好调查报告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表述报告内容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培养语言表达能力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F6537B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7526B9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80" w:firstLineChars="200"/>
              <w:jc w:val="left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 能通过吟唱英文儿歌《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Hans" w:bidi="ar-SA"/>
              </w:rPr>
              <w:t>Ca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eastAsia="zh-Hans" w:bidi="ar-SA"/>
              </w:rPr>
              <w:t>kes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》，熟练数字，并通过创编、改变，拓展学生的思维。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0C4B1D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8823B"/>
    <w:multiLevelType w:val="singleLevel"/>
    <w:tmpl w:val="6318823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3188257"/>
    <w:multiLevelType w:val="singleLevel"/>
    <w:tmpl w:val="6318825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244F1"/>
    <w:rsid w:val="234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2025-06-16T07:28:00Z</dcterms:created>
  <dc:creator>冯小疯</dc:creator>
  <cp:lastModifiedBy>冯小疯</cp:lastModifiedBy>
  <dcterms:modified xsi:type="dcterms:W3CDTF">2025-06-16T07:28:47Z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77BC1540ECF74D2A8793C4C4625C6823_11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