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30"/>
          <w:szCs w:val="30"/>
        </w:rPr>
      </w:pPr>
      <w:r>
        <w:rPr>
          <w:rFonts w:hint="eastAsia" w:ascii="宋体" w:hAnsi="宋体" w:eastAsia="宋体" w:cs="宋体"/>
          <w:sz w:val="30"/>
          <w:szCs w:val="30"/>
          <w:lang w:eastAsia="zh-CN"/>
        </w:rPr>
        <w:t>《基于分类思想方法渗透的课例研究》</w:t>
      </w:r>
      <w:r>
        <w:rPr>
          <w:rFonts w:hint="eastAsia" w:ascii="宋体" w:hAnsi="宋体" w:eastAsia="宋体" w:cs="宋体"/>
          <w:sz w:val="30"/>
          <w:szCs w:val="30"/>
        </w:rPr>
        <w:t>中期评估报告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金坛区华罗庚实验学校新城分校</w:t>
      </w:r>
      <w:r>
        <w:rPr>
          <w:rFonts w:hint="eastAsia" w:ascii="宋体" w:hAnsi="宋体" w:eastAsia="宋体" w:cs="宋体"/>
          <w:sz w:val="24"/>
          <w:szCs w:val="24"/>
          <w:lang w:val="en-US" w:eastAsia="zh-CN"/>
        </w:rPr>
        <w:t xml:space="preserve"> 高云</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107" w:rightChars="-51"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课题的核心概念及其界定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107" w:rightChars="-51"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1.</w:t>
      </w:r>
      <w:r>
        <w:rPr>
          <w:rFonts w:hint="eastAsia" w:ascii="宋体" w:hAnsi="宋体" w:eastAsia="宋体" w:cs="宋体"/>
          <w:b/>
          <w:bCs w:val="0"/>
          <w:sz w:val="24"/>
          <w:szCs w:val="24"/>
          <w:lang w:val="en-US" w:eastAsia="zh-CN"/>
        </w:rPr>
        <w:t>分类</w:t>
      </w:r>
      <w:r>
        <w:rPr>
          <w:rFonts w:hint="eastAsia" w:ascii="宋体" w:hAnsi="宋体" w:eastAsia="宋体" w:cs="宋体"/>
          <w:b/>
          <w:bCs w:val="0"/>
          <w:sz w:val="24"/>
          <w:szCs w:val="24"/>
        </w:rPr>
        <w:t>思想方法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一般认为数学思想可以界定为“现实世界的空间形式和数量关系反映在人的意识中经过思维活动而产生的结果”。</w:t>
      </w:r>
      <w:r>
        <w:rPr>
          <w:rFonts w:hint="eastAsia" w:ascii="宋体" w:hAnsi="宋体"/>
          <w:sz w:val="24"/>
          <w:lang w:val="en-US" w:eastAsia="zh-CN"/>
        </w:rPr>
        <w:t>数学思想方法有三大基本思想：抽象思想、推理思想、模型思想。分类思想是属于抽象思想中的基本思想之一。分类思想是根据数学本质属性的相同点和不同点，将数学研究对象分为不同种类数学思想。分类以比较为基础，比较是分类的前提，分类是比较的结果</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rPr>
      </w:pPr>
      <w:r>
        <w:rPr>
          <w:rFonts w:hint="eastAsia" w:ascii="宋体" w:hAnsi="宋体"/>
          <w:b/>
          <w:bCs/>
          <w:sz w:val="24"/>
        </w:rPr>
        <w:t>2.渗透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渗透是指教师长期对学生施加教育影响，使学生逐渐获得体验和感悟。培养学生的数学基本思想方法，与学生获得基础知识和基本技能的方法与途径是不完全相同的，学生数学基础知识和基本技能的获得是显性的甚至是立竿见影的，而数学思想方法的获得是一个相对缓慢的过程，因此需要我们用润物无声的方式持之以恒地对学生施加教育影响，逐渐使学生在数学学习活动中体验和感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通过基于数学思想方法渗透的</w:t>
      </w:r>
      <w:r>
        <w:rPr>
          <w:rFonts w:hint="eastAsia" w:ascii="宋体" w:hAnsi="宋体"/>
          <w:sz w:val="24"/>
          <w:lang w:eastAsia="zh-CN"/>
        </w:rPr>
        <w:t>课例</w:t>
      </w:r>
      <w:r>
        <w:rPr>
          <w:rFonts w:hint="eastAsia" w:ascii="宋体" w:hAnsi="宋体"/>
          <w:sz w:val="24"/>
        </w:rPr>
        <w:t>研究，组织学生经历有意义的学习过程，在理解的基础上掌握数学的核心知识与技能，把握所学内容的数学本质，体悟所学内容的思想方法，面对新的问题情境，学生能主动运用数学思想方法，自主探究，做出决策或解决问题，促进关键能力与核心素养的发展，形成积极的情感、态度，成为具有独立性、批判性、创造性及合作精神的学习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lang w:eastAsia="zh-CN"/>
        </w:rPr>
      </w:pPr>
      <w:r>
        <w:rPr>
          <w:rFonts w:hint="eastAsia" w:ascii="宋体" w:hAnsi="宋体"/>
          <w:b/>
          <w:bCs/>
          <w:sz w:val="24"/>
        </w:rPr>
        <w:t>二、研究</w:t>
      </w:r>
      <w:r>
        <w:rPr>
          <w:rFonts w:hint="eastAsia" w:ascii="宋体" w:hAnsi="宋体"/>
          <w:b/>
          <w:bCs/>
          <w:sz w:val="24"/>
          <w:lang w:eastAsia="zh-CN"/>
        </w:rPr>
        <w:t>背景和价值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rPr>
      </w:pPr>
      <w:r>
        <w:rPr>
          <w:rFonts w:hint="eastAsia" w:ascii="宋体" w:hAnsi="宋体"/>
          <w:b/>
          <w:bCs/>
          <w:sz w:val="24"/>
        </w:rPr>
        <w:t>1.研究现状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rPr>
        <w:t>关于“数学数学中渗透数学思想方法的实践与研究”，美国将“学会数学思想方法”作为“有数学素养”的标志。俄罗斯把使学生形成数学思想方法列为数学教育的三大基本功任务之一</w:t>
      </w:r>
      <w:r>
        <w:rPr>
          <w:rFonts w:hint="eastAsia" w:ascii="宋体" w:hAnsi="宋体"/>
          <w:sz w:val="24"/>
          <w:lang w:eastAsia="zh-CN"/>
        </w:rPr>
        <w:t>，</w:t>
      </w:r>
      <w:r>
        <w:rPr>
          <w:rFonts w:hint="eastAsia" w:ascii="宋体" w:hAnsi="宋体"/>
          <w:sz w:val="24"/>
        </w:rPr>
        <w:t>国内在初中，高中的数学教学中进行数学思想方法的教学已有深入的研究，并且成果鼎著。小学课程标准组的专家也对小学数学中的主要思想方法进行深刻而通俗的解读。互联网，各省市教研课题组，各种期刊己有不少此类文章，对渗透数学思想方法的好处、策略等方面都作了很好的说明和研究。但是纵观同类课题和研究的案例，都非常重视对数学思想方法作了大量文字性的叙述说明，却很小有对如何米将这一行为有效实践到教学活动中去的研究。大量的纸上谈兵并没有提高教师的专业素养，只给教师提供了理论上的依据。而事实上，只有特理论与实践相结合，才能给我们一线老师真正“拿来”受用。经历过一个十年又一个子年的课程改，教师教学的方式已经基本转变，重视“双基”教育，但是从教材的深度理解出发，大多数老师仍停留在数学思想方法的表面，对小学数学中蕴涵的数学思想方法的研究力度不够，都只能说说而己，有时让他说说自己在课堂教学中运用了哪生数学思想，也一无所知，有的其至在他的课堂教学中焦么也体验不到数学思想方法的送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rPr>
      </w:pPr>
      <w:r>
        <w:rPr>
          <w:rFonts w:hint="eastAsia" w:ascii="宋体" w:hAnsi="宋体"/>
          <w:b/>
          <w:bCs/>
          <w:sz w:val="24"/>
          <w:lang w:val="en-US" w:eastAsia="zh-CN"/>
        </w:rPr>
        <w:t>2</w:t>
      </w:r>
      <w:r>
        <w:rPr>
          <w:rFonts w:hint="eastAsia" w:ascii="宋体" w:hAnsi="宋体"/>
          <w:b/>
          <w:bCs/>
          <w:sz w:val="24"/>
        </w:rPr>
        <w:t>．研究价值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（1）学术价值。本课题</w:t>
      </w:r>
      <w:r>
        <w:rPr>
          <w:rFonts w:hint="eastAsia" w:ascii="宋体" w:hAnsi="宋体"/>
          <w:sz w:val="24"/>
          <w:lang w:val="en-US" w:eastAsia="zh-CN"/>
        </w:rPr>
        <w:t>是</w:t>
      </w:r>
      <w:r>
        <w:rPr>
          <w:rFonts w:hint="eastAsia" w:ascii="宋体" w:hAnsi="宋体"/>
          <w:sz w:val="24"/>
        </w:rPr>
        <w:t>基于数学思想方法渗透的深度学习开展系列专题研究</w:t>
      </w:r>
      <w:r>
        <w:rPr>
          <w:rFonts w:hint="eastAsia" w:ascii="宋体" w:hAnsi="宋体"/>
          <w:sz w:val="24"/>
          <w:lang w:val="en-US" w:eastAsia="zh-CN"/>
        </w:rPr>
        <w:t>之一</w:t>
      </w:r>
      <w:r>
        <w:rPr>
          <w:rFonts w:hint="eastAsia" w:ascii="宋体" w:hAnsi="宋体"/>
          <w:sz w:val="24"/>
        </w:rPr>
        <w:t>，“基于</w:t>
      </w:r>
      <w:r>
        <w:rPr>
          <w:rFonts w:hint="eastAsia" w:ascii="宋体" w:hAnsi="宋体"/>
          <w:sz w:val="24"/>
          <w:lang w:val="en-US" w:eastAsia="zh-CN"/>
        </w:rPr>
        <w:t>分类</w:t>
      </w:r>
      <w:r>
        <w:rPr>
          <w:rFonts w:hint="eastAsia" w:ascii="宋体" w:hAnsi="宋体"/>
          <w:sz w:val="24"/>
        </w:rPr>
        <w:t>思想方法渗透的</w:t>
      </w:r>
      <w:r>
        <w:rPr>
          <w:rFonts w:hint="eastAsia" w:ascii="宋体" w:hAnsi="宋体"/>
          <w:sz w:val="24"/>
          <w:lang w:eastAsia="zh-CN"/>
        </w:rPr>
        <w:t>课例研究</w:t>
      </w:r>
      <w:r>
        <w:rPr>
          <w:rFonts w:hint="eastAsia" w:ascii="宋体" w:hAnsi="宋体"/>
          <w:sz w:val="24"/>
        </w:rPr>
        <w:t>”，我们期待学习者在理解学习的基础上，体悟蕴含在知识体系内的数学思想方法，能够外显学生的思维过程，让思维看得见、说得出、留得住、用得好。面对新的情境时能凭借已有的思想方法进行批判、反思地学习新知识、解决新问题，同时又将新知识、新方法和新思想纳入到已有的认知结构，实现重新建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（2）应用价值。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对教师来说，可以提升教师数学素养。通过课题研究的深入开展，可以提高教师</w:t>
      </w:r>
      <w:r>
        <w:rPr>
          <w:rFonts w:hint="eastAsia" w:ascii="宋体" w:hAnsi="宋体"/>
          <w:sz w:val="24"/>
          <w:lang w:val="en-US" w:eastAsia="zh-CN"/>
        </w:rPr>
        <w:t>分类</w:t>
      </w:r>
      <w:r>
        <w:rPr>
          <w:rFonts w:hint="eastAsia" w:ascii="宋体" w:hAnsi="宋体"/>
          <w:sz w:val="24"/>
        </w:rPr>
        <w:t>思想方法渗透的研究能力，心中有思想有方法的教师不再只关注学生的数学学习结果，更多地站在全面育人的高度，加深对数学学科本质的理解，跳出数学看数学，跳出教育看数学，真正从数学学科教学走向数学学科教育，从数学学科教育走向数学多元化教学，真正担负起立德树人的重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对学生来说，可以促进学生的全面发展。日本数学家米山国藏说过：“作为知识的数学出校门不到两年就忘了，唯有深刻铭记在头脑中的数学的精神、数学的思想、研究的方法和着眼点等，这些随时随地地发生作用，使人终身受用。”通过研究，学生在经历有意义的体悟</w:t>
      </w:r>
      <w:r>
        <w:rPr>
          <w:rFonts w:hint="eastAsia" w:ascii="宋体" w:hAnsi="宋体"/>
          <w:sz w:val="24"/>
          <w:lang w:val="en-US" w:eastAsia="zh-CN"/>
        </w:rPr>
        <w:t>分类</w:t>
      </w:r>
      <w:r>
        <w:rPr>
          <w:rFonts w:hint="eastAsia" w:ascii="宋体" w:hAnsi="宋体"/>
          <w:sz w:val="24"/>
        </w:rPr>
        <w:t>思想方法的深度学习过程中，感悟数学思想方法，学会深度思维，逐步萌生数学思想</w:t>
      </w:r>
      <w:r>
        <w:rPr>
          <w:rFonts w:hint="eastAsia" w:ascii="宋体" w:hAnsi="宋体"/>
          <w:sz w:val="24"/>
          <w:lang w:val="en-US" w:eastAsia="zh-CN"/>
        </w:rPr>
        <w:t>,</w:t>
      </w:r>
      <w:r>
        <w:rPr>
          <w:rFonts w:hint="eastAsia" w:ascii="宋体" w:hAnsi="宋体"/>
          <w:sz w:val="24"/>
        </w:rPr>
        <w:t>真正发挥数学思想方法在数学教学中的灵魂作用，发展学生的数学核心素养，促进学生的全面发展。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lang w:eastAsia="zh-CN"/>
        </w:rPr>
      </w:pPr>
      <w:r>
        <w:rPr>
          <w:rFonts w:hint="eastAsia" w:ascii="宋体" w:hAnsi="宋体"/>
          <w:b/>
          <w:bCs/>
          <w:sz w:val="24"/>
          <w:lang w:eastAsia="zh-CN"/>
        </w:rPr>
        <w:t>三、</w:t>
      </w:r>
      <w:r>
        <w:rPr>
          <w:rFonts w:hint="eastAsia" w:ascii="宋体" w:hAnsi="宋体"/>
          <w:b/>
          <w:bCs/>
          <w:sz w:val="24"/>
        </w:rPr>
        <w:t>研究目</w:t>
      </w:r>
      <w:r>
        <w:rPr>
          <w:rFonts w:hint="eastAsia" w:ascii="宋体" w:hAnsi="宋体"/>
          <w:b/>
          <w:bCs/>
          <w:sz w:val="24"/>
          <w:lang w:eastAsia="zh-CN"/>
        </w:rPr>
        <w:t>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课题研究将以课堂研究为抓手，选择典型的内容开展</w:t>
      </w:r>
      <w:r>
        <w:rPr>
          <w:rFonts w:hint="eastAsia" w:ascii="宋体" w:hAnsi="宋体"/>
          <w:sz w:val="24"/>
          <w:lang w:val="en-US" w:eastAsia="zh-CN"/>
        </w:rPr>
        <w:t>分类</w:t>
      </w:r>
      <w:r>
        <w:rPr>
          <w:rFonts w:hint="eastAsia" w:ascii="宋体" w:hAnsi="宋体"/>
          <w:sz w:val="24"/>
        </w:rPr>
        <w:t>思想方法渗透的</w:t>
      </w:r>
      <w:r>
        <w:rPr>
          <w:rFonts w:hint="eastAsia" w:ascii="宋体" w:hAnsi="宋体"/>
          <w:sz w:val="24"/>
          <w:lang w:eastAsia="zh-CN"/>
        </w:rPr>
        <w:t>课例</w:t>
      </w:r>
      <w:r>
        <w:rPr>
          <w:rFonts w:hint="eastAsia" w:ascii="宋体" w:hAnsi="宋体"/>
          <w:sz w:val="24"/>
        </w:rPr>
        <w:t>研究。在多向维度中构建渗透</w:t>
      </w:r>
      <w:r>
        <w:rPr>
          <w:rFonts w:hint="eastAsia" w:ascii="宋体" w:hAnsi="宋体"/>
          <w:sz w:val="24"/>
          <w:lang w:val="en-US" w:eastAsia="zh-CN"/>
        </w:rPr>
        <w:t>分类</w:t>
      </w:r>
      <w:r>
        <w:rPr>
          <w:rFonts w:hint="eastAsia" w:ascii="宋体" w:hAnsi="宋体"/>
          <w:sz w:val="24"/>
        </w:rPr>
        <w:t>思想方法的课堂教学范例，探求实施渗透</w:t>
      </w:r>
      <w:r>
        <w:rPr>
          <w:rFonts w:hint="eastAsia" w:ascii="宋体" w:hAnsi="宋体"/>
          <w:sz w:val="24"/>
          <w:lang w:val="en-US" w:eastAsia="zh-CN"/>
        </w:rPr>
        <w:t>分类</w:t>
      </w:r>
      <w:r>
        <w:rPr>
          <w:rFonts w:hint="eastAsia" w:ascii="宋体" w:hAnsi="宋体"/>
          <w:sz w:val="24"/>
        </w:rPr>
        <w:t>思想方法的有效途径，提升小学数学教学质量。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eastAsia="zh-CN"/>
        </w:rPr>
        <w:t>梳理</w:t>
      </w:r>
      <w:r>
        <w:rPr>
          <w:rFonts w:hint="eastAsia" w:ascii="宋体" w:hAnsi="宋体"/>
          <w:sz w:val="24"/>
        </w:rPr>
        <w:t>教材所蕴含的</w:t>
      </w:r>
      <w:r>
        <w:rPr>
          <w:rFonts w:hint="eastAsia" w:ascii="宋体" w:hAnsi="宋体"/>
          <w:sz w:val="24"/>
          <w:lang w:val="en-US" w:eastAsia="zh-CN"/>
        </w:rPr>
        <w:t>分类</w:t>
      </w:r>
      <w:r>
        <w:rPr>
          <w:rFonts w:hint="eastAsia" w:ascii="宋体" w:hAnsi="宋体"/>
          <w:sz w:val="24"/>
        </w:rPr>
        <w:t>思想方法的相关内容，</w:t>
      </w:r>
      <w:r>
        <w:rPr>
          <w:rFonts w:hint="eastAsia" w:ascii="宋体" w:hAnsi="宋体"/>
          <w:sz w:val="24"/>
          <w:lang w:eastAsia="zh-CN"/>
        </w:rPr>
        <w:t>依据教材内容</w:t>
      </w:r>
      <w:r>
        <w:rPr>
          <w:rFonts w:hint="eastAsia" w:ascii="宋体" w:hAnsi="宋体"/>
          <w:sz w:val="24"/>
        </w:rPr>
        <w:t>拓展创编系列化的渗透</w:t>
      </w:r>
      <w:r>
        <w:rPr>
          <w:rFonts w:hint="eastAsia" w:ascii="宋体" w:hAnsi="宋体"/>
          <w:sz w:val="24"/>
          <w:lang w:val="en-US" w:eastAsia="zh-CN"/>
        </w:rPr>
        <w:t>分类</w:t>
      </w:r>
      <w:r>
        <w:rPr>
          <w:rFonts w:hint="eastAsia" w:ascii="宋体" w:hAnsi="宋体"/>
          <w:sz w:val="24"/>
        </w:rPr>
        <w:t>思想方法的典型例题和习题集。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2.探索</w:t>
      </w:r>
      <w:r>
        <w:rPr>
          <w:rFonts w:hint="eastAsia" w:ascii="宋体" w:hAnsi="宋体"/>
          <w:sz w:val="24"/>
          <w:lang w:val="en-US" w:eastAsia="zh-CN"/>
        </w:rPr>
        <w:t>分类</w:t>
      </w:r>
      <w:r>
        <w:rPr>
          <w:rFonts w:hint="eastAsia" w:ascii="宋体" w:hAnsi="宋体"/>
          <w:sz w:val="24"/>
        </w:rPr>
        <w:t>数学思想方法渗透的课堂教学模式，提炼教学的一般流程和相应教学策略。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3.结合具体教学内容，形成相应的</w:t>
      </w:r>
      <w:r>
        <w:rPr>
          <w:rFonts w:hint="eastAsia" w:ascii="宋体" w:hAnsi="宋体"/>
          <w:sz w:val="24"/>
          <w:lang w:val="en-US" w:eastAsia="zh-CN"/>
        </w:rPr>
        <w:t>分类</w:t>
      </w:r>
      <w:r>
        <w:rPr>
          <w:rFonts w:hint="eastAsia" w:ascii="宋体" w:hAnsi="宋体"/>
          <w:sz w:val="24"/>
        </w:rPr>
        <w:t>思想方法渗透的学生发展评价建议。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rPr>
      </w:pPr>
      <w:r>
        <w:rPr>
          <w:rFonts w:hint="eastAsia" w:ascii="宋体" w:hAnsi="宋体"/>
          <w:b/>
          <w:bCs/>
          <w:sz w:val="24"/>
          <w:lang w:eastAsia="zh-CN"/>
        </w:rPr>
        <w:t>四、</w:t>
      </w:r>
      <w:r>
        <w:rPr>
          <w:rFonts w:hint="eastAsia" w:ascii="宋体" w:hAnsi="宋体"/>
          <w:b/>
          <w:bCs/>
          <w:sz w:val="24"/>
        </w:rPr>
        <w:t>研究内容及其重点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lang w:eastAsia="zh-CN"/>
        </w:rPr>
        <w:t>）</w:t>
      </w:r>
      <w:r>
        <w:rPr>
          <w:rFonts w:hint="eastAsia" w:ascii="宋体" w:hAnsi="宋体"/>
          <w:b/>
          <w:bCs/>
          <w:sz w:val="24"/>
        </w:rPr>
        <w:t>研究内容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1.依据教材创编系列化的渗透</w:t>
      </w:r>
      <w:r>
        <w:rPr>
          <w:rFonts w:hint="eastAsia" w:ascii="宋体" w:hAnsi="宋体"/>
          <w:sz w:val="24"/>
          <w:lang w:val="en-US" w:eastAsia="zh-CN"/>
        </w:rPr>
        <w:t>分类</w:t>
      </w:r>
      <w:r>
        <w:rPr>
          <w:rFonts w:hint="eastAsia" w:ascii="宋体" w:hAnsi="宋体"/>
          <w:sz w:val="24"/>
        </w:rPr>
        <w:t>思想方法的典型例题和习题的研究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本课题将着重开展基于教材、源于教材、高于教材的渗透数学思想方法的典型例题和习题的创编工作研究，围绕分类思想方法，选择适合不同阶段学生学习的材料，进行二度开发。教师通过典型例题和习题，引导学生关注数学学习内容的本质与变式，便于学生把握数学本质，对蕴含</w:t>
      </w:r>
      <w:r>
        <w:rPr>
          <w:rFonts w:hint="eastAsia" w:ascii="宋体" w:hAnsi="宋体"/>
          <w:sz w:val="24"/>
          <w:lang w:val="en-US" w:eastAsia="zh-CN"/>
        </w:rPr>
        <w:t>分类</w:t>
      </w:r>
      <w:r>
        <w:rPr>
          <w:rFonts w:hint="eastAsia" w:ascii="宋体" w:hAnsi="宋体"/>
          <w:sz w:val="24"/>
        </w:rPr>
        <w:t>思想方法的内容开展深度加工，提升学生的智慧水平，沟通知识间的内在联系。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2.探索</w:t>
      </w:r>
      <w:r>
        <w:rPr>
          <w:rFonts w:hint="eastAsia" w:ascii="宋体" w:hAnsi="宋体"/>
          <w:sz w:val="24"/>
          <w:lang w:val="en-US" w:eastAsia="zh-CN"/>
        </w:rPr>
        <w:t>分类</w:t>
      </w:r>
      <w:r>
        <w:rPr>
          <w:rFonts w:hint="eastAsia" w:ascii="宋体" w:hAnsi="宋体"/>
          <w:sz w:val="24"/>
        </w:rPr>
        <w:t>思想方法渗透的课堂教学流程和相应教学策略的研究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数学思想方法内涵丰富，着重在“数与代数”、“几何与图形”、“统计与概率”、“实践与综合运用”四个领域，如概念类、计算类、规律探索类、解决问题类、图形测量类等课堂中，开展分类思想方法渗透的</w:t>
      </w:r>
      <w:r>
        <w:rPr>
          <w:rFonts w:hint="eastAsia" w:ascii="宋体" w:hAnsi="宋体"/>
          <w:sz w:val="24"/>
          <w:lang w:eastAsia="zh-CN"/>
        </w:rPr>
        <w:t>课例</w:t>
      </w:r>
      <w:r>
        <w:rPr>
          <w:rFonts w:hint="eastAsia" w:ascii="宋体" w:hAnsi="宋体"/>
          <w:sz w:val="24"/>
        </w:rPr>
        <w:t>研究，探索课堂教学的一般模式，总结出</w:t>
      </w:r>
      <w:r>
        <w:rPr>
          <w:rFonts w:hint="eastAsia" w:ascii="宋体" w:hAnsi="宋体"/>
          <w:sz w:val="24"/>
          <w:lang w:val="en-US" w:eastAsia="zh-CN"/>
        </w:rPr>
        <w:t>分类</w:t>
      </w:r>
      <w:r>
        <w:rPr>
          <w:rFonts w:hint="eastAsia" w:ascii="宋体" w:hAnsi="宋体"/>
          <w:sz w:val="24"/>
        </w:rPr>
        <w:t>思想方法渗透的课堂中相应的教学流程和教学策略。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3.开展</w:t>
      </w:r>
      <w:r>
        <w:rPr>
          <w:rFonts w:hint="eastAsia" w:ascii="宋体" w:hAnsi="宋体"/>
          <w:sz w:val="24"/>
          <w:lang w:val="en-US" w:eastAsia="zh-CN"/>
        </w:rPr>
        <w:t>分类</w:t>
      </w:r>
      <w:r>
        <w:rPr>
          <w:rFonts w:hint="eastAsia" w:ascii="宋体" w:hAnsi="宋体"/>
          <w:sz w:val="24"/>
        </w:rPr>
        <w:t>思想方法渗透的学生发展评价研究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学生在基于</w:t>
      </w:r>
      <w:r>
        <w:rPr>
          <w:rFonts w:hint="eastAsia" w:ascii="宋体" w:hAnsi="宋体"/>
          <w:sz w:val="24"/>
          <w:lang w:val="en-US" w:eastAsia="zh-CN"/>
        </w:rPr>
        <w:t>分类</w:t>
      </w:r>
      <w:r>
        <w:rPr>
          <w:rFonts w:hint="eastAsia" w:ascii="宋体" w:hAnsi="宋体"/>
          <w:sz w:val="24"/>
        </w:rPr>
        <w:t xml:space="preserve">思想方法渗透的学习的过程中，对学生的主动参与状态、目标达成、获得成功体验等情况开展评价活动，针对不同年段的学生研制相应的测试题、问卷调查或量表进行定量评价或定性评价，促进学生的思维水平提升，促进学生充满个性的、生动的发展。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研究重点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eastAsia="zh-CN"/>
        </w:rPr>
      </w:pPr>
      <w:r>
        <w:rPr>
          <w:rFonts w:hint="eastAsia" w:ascii="宋体" w:hAnsi="宋体"/>
          <w:sz w:val="24"/>
        </w:rPr>
        <w:t>本课题将重点研究基于分类思想方法渗透的</w:t>
      </w:r>
      <w:r>
        <w:rPr>
          <w:rFonts w:hint="eastAsia" w:ascii="宋体" w:hAnsi="宋体"/>
          <w:sz w:val="24"/>
          <w:lang w:eastAsia="zh-CN"/>
        </w:rPr>
        <w:t>课例</w:t>
      </w:r>
      <w:r>
        <w:rPr>
          <w:rFonts w:hint="eastAsia" w:ascii="宋体" w:hAnsi="宋体"/>
          <w:sz w:val="24"/>
        </w:rPr>
        <w:t>研究。具体地，本课题着重在“数与代数”、“几何与图形”、“统计与概率”、“实践与综合运用”四个领域，如概念类、计算类、规律探索类、解决问题类、图形测量类等课堂中，开展分类思想方法渗透的</w:t>
      </w:r>
      <w:r>
        <w:rPr>
          <w:rFonts w:hint="eastAsia" w:ascii="宋体" w:hAnsi="宋体"/>
          <w:sz w:val="24"/>
          <w:lang w:eastAsia="zh-CN"/>
        </w:rPr>
        <w:t>课例</w:t>
      </w:r>
      <w:r>
        <w:rPr>
          <w:rFonts w:hint="eastAsia" w:ascii="宋体" w:hAnsi="宋体"/>
          <w:sz w:val="24"/>
        </w:rPr>
        <w:t>研究</w:t>
      </w:r>
      <w:r>
        <w:rPr>
          <w:rFonts w:hint="eastAsia" w:ascii="宋体" w:hAnsi="宋体"/>
          <w:sz w:val="24"/>
          <w:lang w:eastAsia="zh-CN"/>
        </w:rPr>
        <w:t>，</w:t>
      </w:r>
      <w:r>
        <w:rPr>
          <w:rFonts w:hint="eastAsia" w:ascii="宋体" w:hAnsi="宋体"/>
          <w:sz w:val="24"/>
        </w:rPr>
        <w:t>探索课堂教学的一般模式，总结出</w:t>
      </w:r>
      <w:r>
        <w:rPr>
          <w:rFonts w:hint="eastAsia" w:ascii="宋体" w:hAnsi="宋体"/>
          <w:sz w:val="24"/>
          <w:lang w:val="en-US" w:eastAsia="zh-CN"/>
        </w:rPr>
        <w:t>分类</w:t>
      </w:r>
      <w:r>
        <w:rPr>
          <w:rFonts w:hint="eastAsia" w:ascii="宋体" w:hAnsi="宋体"/>
          <w:sz w:val="24"/>
        </w:rPr>
        <w:t>思想方法渗透的课堂中相应的教学流程和教学策略。</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rPr>
      </w:pPr>
      <w:r>
        <w:rPr>
          <w:rFonts w:hint="eastAsia" w:ascii="宋体" w:hAnsi="宋体"/>
          <w:b/>
          <w:bCs/>
          <w:sz w:val="24"/>
          <w:lang w:eastAsia="zh-CN"/>
        </w:rPr>
        <w:t>五、</w:t>
      </w:r>
      <w:r>
        <w:rPr>
          <w:rFonts w:hint="eastAsia" w:ascii="宋体" w:hAnsi="宋体"/>
          <w:b/>
          <w:bCs/>
          <w:sz w:val="24"/>
        </w:rPr>
        <w:t>研究的方法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 xml:space="preserve"> 1.文献研究法。搜集关于</w:t>
      </w:r>
      <w:r>
        <w:rPr>
          <w:rFonts w:hint="eastAsia" w:ascii="宋体" w:hAnsi="宋体"/>
          <w:sz w:val="24"/>
          <w:lang w:val="en-US" w:eastAsia="zh-CN"/>
        </w:rPr>
        <w:t>分类</w:t>
      </w:r>
      <w:r>
        <w:rPr>
          <w:rFonts w:hint="eastAsia" w:ascii="宋体" w:hAnsi="宋体"/>
          <w:sz w:val="24"/>
        </w:rPr>
        <w:t>思想方法渗透的专题文献资料，组织课题组成员进行研读和讨论，了解与本课题研究相关的情况，借鉴已有的研究成功经验，为本课题的创新性研究提供理论和实践指导。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eastAsia="zh-CN"/>
        </w:rPr>
      </w:pPr>
      <w:r>
        <w:rPr>
          <w:rFonts w:hint="eastAsia" w:ascii="宋体" w:hAnsi="宋体"/>
          <w:sz w:val="24"/>
        </w:rPr>
        <w:t>2.课例研究法。选择创编教材，开展以</w:t>
      </w:r>
      <w:r>
        <w:rPr>
          <w:rFonts w:hint="eastAsia" w:ascii="宋体" w:hAnsi="宋体"/>
          <w:sz w:val="24"/>
          <w:lang w:val="en-US" w:eastAsia="zh-CN"/>
        </w:rPr>
        <w:t>分类</w:t>
      </w:r>
      <w:r>
        <w:rPr>
          <w:rFonts w:hint="eastAsia" w:ascii="宋体" w:hAnsi="宋体"/>
          <w:sz w:val="24"/>
        </w:rPr>
        <w:t>思想方法渗透为主、其他数学思想方法渗透相结合的深度学习课例研究，并着重对</w:t>
      </w:r>
      <w:r>
        <w:rPr>
          <w:rFonts w:hint="eastAsia" w:ascii="宋体" w:hAnsi="宋体"/>
          <w:sz w:val="24"/>
          <w:lang w:val="en-US" w:eastAsia="zh-CN"/>
        </w:rPr>
        <w:t>分类</w:t>
      </w:r>
      <w:r>
        <w:rPr>
          <w:rFonts w:hint="eastAsia" w:ascii="宋体" w:hAnsi="宋体"/>
          <w:sz w:val="24"/>
        </w:rPr>
        <w:t>思想方法渗透的课堂教学实施流程和相关策略加以研究</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3.经验总结法。通过对课题研究活动中的实施情况，进行归纳与分析，使阶段成果和最终的成果更加系统化、理论化，并上升为经验，在一定范围内进行推广。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4.行动研究法。依据行动研究法的特点，按照课题研究计划开展研究，在研究的过程中，不断反思并完善研究内容，改进研究行为，调整研究思路，促进课题研究有序、有效、扎实推进，不断总结和完善课题研究成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rPr>
      </w:pPr>
      <w:r>
        <w:rPr>
          <w:rFonts w:hint="eastAsia" w:ascii="宋体" w:hAnsi="宋体"/>
          <w:b/>
          <w:bCs/>
          <w:sz w:val="24"/>
          <w:lang w:eastAsia="zh-CN"/>
        </w:rPr>
        <w:t>六、</w:t>
      </w:r>
      <w:r>
        <w:rPr>
          <w:rFonts w:hint="eastAsia" w:ascii="宋体" w:hAnsi="宋体"/>
          <w:b/>
          <w:bCs/>
          <w:sz w:val="24"/>
        </w:rPr>
        <w:t>研究</w:t>
      </w:r>
      <w:r>
        <w:rPr>
          <w:rFonts w:hint="eastAsia" w:ascii="宋体" w:hAnsi="宋体"/>
          <w:b/>
          <w:bCs/>
          <w:sz w:val="24"/>
          <w:lang w:eastAsia="zh-CN"/>
        </w:rPr>
        <w:t>的</w:t>
      </w:r>
      <w:r>
        <w:rPr>
          <w:rFonts w:hint="eastAsia" w:ascii="宋体" w:hAnsi="宋体"/>
          <w:b/>
          <w:bCs/>
          <w:sz w:val="24"/>
        </w:rPr>
        <w:t>历程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有了清醒的认识，课题组紧紧围绕课题方案所确定的研究内容、研究目标、研究方法展开了一系列理论学习和课例实践，扎扎实实地开展了课题的各项研究活动，使课题有序、扎实地开展起来，基本做到了课题研究的常态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1、组织召开课题开题会议，撰写开题报告、研究方案。在接到课题立项通知的一个星期内，课题组负责人与成员多次交流了“</w:t>
      </w:r>
      <w:r>
        <w:rPr>
          <w:rFonts w:hint="eastAsia" w:ascii="宋体" w:hAnsi="宋体"/>
          <w:sz w:val="24"/>
          <w:lang w:eastAsia="zh-CN"/>
        </w:rPr>
        <w:t>基于数学思想方法</w:t>
      </w:r>
      <w:r>
        <w:rPr>
          <w:rFonts w:hint="eastAsia" w:ascii="宋体" w:hAnsi="宋体"/>
          <w:sz w:val="24"/>
        </w:rPr>
        <w:t>渗透</w:t>
      </w:r>
      <w:r>
        <w:rPr>
          <w:rFonts w:hint="eastAsia" w:ascii="宋体" w:hAnsi="宋体"/>
          <w:sz w:val="24"/>
          <w:lang w:eastAsia="zh-CN"/>
        </w:rPr>
        <w:t>的课例</w:t>
      </w:r>
      <w:r>
        <w:rPr>
          <w:rFonts w:hint="eastAsia" w:ascii="宋体" w:hAnsi="宋体"/>
          <w:sz w:val="24"/>
        </w:rPr>
        <w:t>研究”区级课题的研究方案、计划等方面的意见，共同起草了“</w:t>
      </w:r>
      <w:r>
        <w:rPr>
          <w:rFonts w:hint="eastAsia" w:ascii="宋体" w:hAnsi="宋体"/>
          <w:sz w:val="24"/>
          <w:lang w:eastAsia="zh-CN"/>
        </w:rPr>
        <w:t>基于分类思想方法渗透的课例研究</w:t>
      </w:r>
      <w:r>
        <w:rPr>
          <w:rFonts w:hint="eastAsia" w:ascii="宋体" w:hAnsi="宋体"/>
          <w:sz w:val="24"/>
        </w:rPr>
        <w:t>”开题报告、研究方案等草案，召开了课题开题会议，修改并通过了开题报告、计划、方案等草案，明确课题组各成员的分工、研究目标、研究内容研究步骤，明确各阶段的研究重点。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2、加强理论学习，为实践研究做好准备。在研究的第一阶段，我们大部分的时间和精力花在收集相关的资料和理论上，从理论上储备自己，以更好地为进行课题研究做准备。课题组成员一起学习了《数学课程标准》2011版、《小学数学思想的梳理》、《数学教育心理学》等专著</w:t>
      </w:r>
      <w:r>
        <w:rPr>
          <w:rFonts w:hint="eastAsia" w:ascii="宋体" w:hAnsi="宋体"/>
          <w:sz w:val="24"/>
          <w:lang w:eastAsia="zh-CN"/>
        </w:rPr>
        <w:t>和</w:t>
      </w:r>
      <w:r>
        <w:rPr>
          <w:rFonts w:hint="eastAsia" w:ascii="宋体" w:hAnsi="宋体"/>
          <w:sz w:val="24"/>
        </w:rPr>
        <w:t>相关论文，以及一些最新的课堂教学实践案例。在学习过程中，我们紧密结合研究课探讨理论与实践的得失，促进理论的内化和吸收；从理论出发，积极在实际中运用验证。课题组成员另外还自主学习，认真钻研与课题研究有关的文章，力求使每一位成员都能接受新课程理念的洗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3、开展问卷调查，摸清研究现状。为了检查学生及教师对“</w:t>
      </w:r>
      <w:r>
        <w:rPr>
          <w:rFonts w:hint="eastAsia" w:ascii="宋体" w:hAnsi="宋体"/>
          <w:sz w:val="24"/>
          <w:lang w:eastAsia="zh-CN"/>
        </w:rPr>
        <w:t>分类</w:t>
      </w:r>
      <w:r>
        <w:rPr>
          <w:rFonts w:hint="eastAsia" w:ascii="宋体" w:hAnsi="宋体"/>
          <w:sz w:val="24"/>
        </w:rPr>
        <w:t>”思想的认知水平，在三、四年级中每班抽取部分学生和一至四年级数学教师中进行问卷笔答，以此了解学校师生对于“</w:t>
      </w:r>
      <w:r>
        <w:rPr>
          <w:rFonts w:hint="eastAsia" w:ascii="宋体" w:hAnsi="宋体"/>
          <w:sz w:val="24"/>
          <w:lang w:eastAsia="zh-CN"/>
        </w:rPr>
        <w:t>分类思想</w:t>
      </w:r>
      <w:r>
        <w:rPr>
          <w:rFonts w:hint="eastAsia" w:ascii="宋体" w:hAnsi="宋体"/>
          <w:sz w:val="24"/>
        </w:rPr>
        <w:t>”理解及运用程度。调查后，课题组对问卷进行了统计分析，确立了课题组急需解决的问题，为课题研究指定方向。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4.集中梳理教材内容，为下一步研究做准备。为使我们的课题研究顺利实施并具有针对性，我们在20</w:t>
      </w:r>
      <w:r>
        <w:rPr>
          <w:rFonts w:hint="eastAsia" w:ascii="宋体" w:hAnsi="宋体"/>
          <w:sz w:val="24"/>
          <w:lang w:val="en-US" w:eastAsia="zh-CN"/>
        </w:rPr>
        <w:t>21</w:t>
      </w:r>
      <w:r>
        <w:rPr>
          <w:rFonts w:hint="eastAsia" w:ascii="宋体" w:hAnsi="宋体"/>
          <w:sz w:val="24"/>
        </w:rPr>
        <w:t>年下半年和20</w:t>
      </w:r>
      <w:r>
        <w:rPr>
          <w:rFonts w:hint="eastAsia" w:ascii="宋体" w:hAnsi="宋体"/>
          <w:sz w:val="24"/>
          <w:lang w:val="en-US" w:eastAsia="zh-CN"/>
        </w:rPr>
        <w:t>22</w:t>
      </w:r>
      <w:r>
        <w:rPr>
          <w:rFonts w:hint="eastAsia" w:ascii="宋体" w:hAnsi="宋体"/>
          <w:sz w:val="24"/>
        </w:rPr>
        <w:t>年上半年集中梳理自己所任课教材中能渗透</w:t>
      </w:r>
      <w:r>
        <w:rPr>
          <w:rFonts w:hint="eastAsia" w:ascii="宋体" w:hAnsi="宋体"/>
          <w:sz w:val="24"/>
          <w:lang w:eastAsia="zh-CN"/>
        </w:rPr>
        <w:t>分类</w:t>
      </w:r>
      <w:r>
        <w:rPr>
          <w:rFonts w:hint="eastAsia" w:ascii="宋体" w:hAnsi="宋体"/>
          <w:sz w:val="24"/>
        </w:rPr>
        <w:t>思想的教学内容，并加以整理，开展集体备课和研究活动，初步设计以</w:t>
      </w:r>
      <w:r>
        <w:rPr>
          <w:rFonts w:hint="eastAsia" w:ascii="宋体" w:hAnsi="宋体"/>
          <w:sz w:val="24"/>
          <w:lang w:eastAsia="zh-CN"/>
        </w:rPr>
        <w:t>分类</w:t>
      </w:r>
      <w:r>
        <w:rPr>
          <w:rFonts w:hint="eastAsia" w:ascii="宋体" w:hAnsi="宋体"/>
          <w:sz w:val="24"/>
        </w:rPr>
        <w:t>思想作为指导的难点突破思路，让成员们在对教材充分理解地基础上，结合本课题研究的重点，理出我们下一步具体研究的方向。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5. 举办沙龙活动，搭建共同成长平台。为了进一步探讨教材内容的呈现策略，使我们的研究工作更加切实有效，我们除了每两周一次的年级组集体备课活动、每个月一次的研究课和理论学习外，我们课题组成员分别以“你认为什么是</w:t>
      </w:r>
      <w:r>
        <w:rPr>
          <w:rFonts w:hint="eastAsia" w:ascii="宋体" w:hAnsi="宋体"/>
          <w:sz w:val="24"/>
          <w:lang w:eastAsia="zh-CN"/>
        </w:rPr>
        <w:t>分类</w:t>
      </w:r>
      <w:r>
        <w:rPr>
          <w:rFonts w:hint="eastAsia" w:ascii="宋体" w:hAnsi="宋体"/>
          <w:sz w:val="24"/>
        </w:rPr>
        <w:t>思想？”“教材中哪些内容蕴含或者可以渗透</w:t>
      </w:r>
      <w:r>
        <w:rPr>
          <w:rFonts w:hint="eastAsia" w:ascii="宋体" w:hAnsi="宋体"/>
          <w:sz w:val="24"/>
          <w:lang w:eastAsia="zh-CN"/>
        </w:rPr>
        <w:t>分类</w:t>
      </w:r>
      <w:r>
        <w:rPr>
          <w:rFonts w:hint="eastAsia" w:ascii="宋体" w:hAnsi="宋体"/>
          <w:sz w:val="24"/>
        </w:rPr>
        <w:t>思想？”“</w:t>
      </w:r>
      <w:r>
        <w:rPr>
          <w:rFonts w:hint="eastAsia" w:ascii="宋体" w:hAnsi="宋体"/>
          <w:sz w:val="24"/>
          <w:lang w:eastAsia="zh-CN"/>
        </w:rPr>
        <w:t>分类</w:t>
      </w:r>
      <w:r>
        <w:rPr>
          <w:rFonts w:hint="eastAsia" w:ascii="宋体" w:hAnsi="宋体"/>
          <w:sz w:val="24"/>
        </w:rPr>
        <w:t>数学思想对学生的学习或者解题有什么作用呢？”“如何在平时的教学中</w:t>
      </w:r>
      <w:r>
        <w:rPr>
          <w:rFonts w:hint="eastAsia" w:ascii="宋体" w:hAnsi="宋体"/>
          <w:sz w:val="24"/>
          <w:lang w:eastAsia="zh-CN"/>
        </w:rPr>
        <w:t>分类</w:t>
      </w:r>
      <w:r>
        <w:rPr>
          <w:rFonts w:hint="eastAsia" w:ascii="宋体" w:hAnsi="宋体"/>
          <w:sz w:val="24"/>
        </w:rPr>
        <w:t>数学思想？”为主题进行了集体研讨，每一位课题组成员都认真准备，交流了自己对这些问题的见解和认识，同时也提出了今后研究的方向和困惑，并对本课题的研究提出了建设性的建议和意见，让每位课题组成员对课题的主要研究内容和方向有了明确的共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6.带题做课，开展实践研究。学校数学教研组活动与课题研究相结合，成为我们课题组成长的新平台。我们让每位课题组教师围绕课题参与理论学习、集体备课、上课、评课活动，以在思想上寻求转变成为研究的新动向。20</w:t>
      </w:r>
      <w:r>
        <w:rPr>
          <w:rFonts w:hint="eastAsia" w:ascii="宋体" w:hAnsi="宋体"/>
          <w:sz w:val="24"/>
          <w:lang w:val="en-US" w:eastAsia="zh-CN"/>
        </w:rPr>
        <w:t>21</w:t>
      </w:r>
      <w:r>
        <w:rPr>
          <w:rFonts w:hint="eastAsia" w:ascii="宋体" w:hAnsi="宋体"/>
          <w:sz w:val="24"/>
        </w:rPr>
        <w:t>年下半年，</w:t>
      </w:r>
      <w:r>
        <w:rPr>
          <w:rFonts w:hint="eastAsia" w:ascii="宋体" w:hAnsi="宋体"/>
          <w:sz w:val="24"/>
          <w:lang w:eastAsia="zh-CN"/>
        </w:rPr>
        <w:t>高云</w:t>
      </w:r>
      <w:r>
        <w:rPr>
          <w:rFonts w:hint="eastAsia" w:ascii="宋体" w:hAnsi="宋体"/>
          <w:sz w:val="24"/>
        </w:rPr>
        <w:t>老师的《</w:t>
      </w:r>
      <w:r>
        <w:rPr>
          <w:rFonts w:hint="eastAsia" w:ascii="宋体" w:hAnsi="宋体"/>
          <w:sz w:val="24"/>
          <w:lang w:eastAsia="zh-CN"/>
        </w:rPr>
        <w:t>怎样烙饼时间最少</w:t>
      </w:r>
      <w:r>
        <w:rPr>
          <w:rFonts w:hint="eastAsia" w:ascii="宋体" w:hAnsi="宋体"/>
          <w:sz w:val="24"/>
        </w:rPr>
        <w:t>》、</w:t>
      </w:r>
      <w:r>
        <w:rPr>
          <w:rFonts w:hint="eastAsia" w:ascii="宋体" w:hAnsi="宋体"/>
          <w:sz w:val="24"/>
          <w:lang w:eastAsia="zh-CN"/>
        </w:rPr>
        <w:t>黄卓群</w:t>
      </w:r>
      <w:r>
        <w:rPr>
          <w:rFonts w:hint="eastAsia" w:ascii="宋体" w:hAnsi="宋体"/>
          <w:sz w:val="24"/>
        </w:rPr>
        <w:t>老师的《</w:t>
      </w:r>
      <w:r>
        <w:rPr>
          <w:rFonts w:hint="eastAsia" w:ascii="宋体" w:hAnsi="宋体"/>
          <w:sz w:val="24"/>
          <w:lang w:eastAsia="zh-CN"/>
        </w:rPr>
        <w:t>认识长方形和正方形</w:t>
      </w:r>
      <w:r>
        <w:rPr>
          <w:rFonts w:hint="eastAsia" w:ascii="宋体" w:hAnsi="宋体"/>
          <w:sz w:val="24"/>
        </w:rPr>
        <w:t>》等研究课，顺利开展为我们的研究与实践搭建了很好的平台，都取得了较好的效果。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课题研究课体现着我们课题研究组的思想和研究活动的进展，我们采取的研究方法是：全体成员以年级组为单位，在充分学习理论的基础上，对教材先进行梳理，先进行个人备课，再在教研组内进行讨论修改，然后立足课堂进行实践，集体评议时，执教老师要按照课题思想，说明为什么这样上，一名老师作中心评课，其他老师再集体评议，使每次研讨课都能让课题组的所有教师得到收获和提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rPr>
      </w:pPr>
      <w:r>
        <w:rPr>
          <w:rFonts w:hint="eastAsia" w:ascii="宋体" w:hAnsi="宋体"/>
          <w:b/>
          <w:bCs/>
          <w:sz w:val="24"/>
          <w:lang w:eastAsia="zh-CN"/>
        </w:rPr>
        <w:t>七</w:t>
      </w:r>
      <w:r>
        <w:rPr>
          <w:rFonts w:hint="eastAsia" w:ascii="宋体" w:hAnsi="宋体"/>
          <w:b/>
          <w:bCs/>
          <w:sz w:val="24"/>
        </w:rPr>
        <w:t>、研究</w:t>
      </w:r>
      <w:r>
        <w:rPr>
          <w:rFonts w:hint="eastAsia" w:ascii="宋体" w:hAnsi="宋体"/>
          <w:b/>
          <w:bCs/>
          <w:sz w:val="24"/>
          <w:lang w:eastAsia="zh-CN"/>
        </w:rPr>
        <w:t>的</w:t>
      </w:r>
      <w:r>
        <w:rPr>
          <w:rFonts w:hint="eastAsia" w:ascii="宋体" w:hAnsi="宋体"/>
          <w:b/>
          <w:bCs/>
          <w:sz w:val="24"/>
        </w:rPr>
        <w:t>收获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把握教材，在教学过程中适时</w:t>
      </w:r>
      <w:r>
        <w:rPr>
          <w:rFonts w:hint="eastAsia" w:ascii="宋体" w:hAnsi="宋体"/>
          <w:sz w:val="24"/>
          <w:lang w:eastAsia="zh-CN"/>
        </w:rPr>
        <w:t>渗透分类数学</w:t>
      </w:r>
      <w:r>
        <w:rPr>
          <w:rFonts w:hint="eastAsia" w:ascii="宋体" w:hAnsi="宋体"/>
          <w:sz w:val="24"/>
        </w:rPr>
        <w:t>思想</w:t>
      </w:r>
      <w:r>
        <w:rPr>
          <w:rFonts w:hint="eastAsia" w:ascii="宋体" w:hAnsi="宋体"/>
          <w:sz w:val="24"/>
          <w:lang w:eastAsia="zh-CN"/>
        </w:rPr>
        <w:t>的理念进一步提高</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教材是教学活动的主要资源。教师要学习、研究分析教材的编写意图，创造性的使用教材，充分发挥这一宝贵资源的作用。在教学中，</w:t>
      </w:r>
      <w:r>
        <w:rPr>
          <w:rFonts w:hint="eastAsia" w:ascii="宋体" w:hAnsi="宋体"/>
          <w:sz w:val="24"/>
          <w:lang w:eastAsia="zh-CN"/>
        </w:rPr>
        <w:t>要发现哪些练习可以渗透分类数学思想</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eastAsia="zh-CN"/>
        </w:rPr>
      </w:pPr>
      <w:r>
        <w:rPr>
          <w:rFonts w:hint="eastAsia" w:ascii="宋体" w:hAnsi="宋体"/>
          <w:sz w:val="24"/>
          <w:lang w:eastAsia="zh-CN"/>
        </w:rPr>
        <w:t>例如：</w:t>
      </w:r>
    </w:p>
    <w:p>
      <w:pPr>
        <w:keepNext w:val="0"/>
        <w:keepLines w:val="0"/>
        <w:pageBreakBefore w:val="0"/>
        <w:widowControl w:val="0"/>
        <w:kinsoku/>
        <w:wordWrap/>
        <w:overflowPunct/>
        <w:topLinePunct w:val="0"/>
        <w:autoSpaceDE/>
        <w:autoSpaceDN/>
        <w:bidi w:val="0"/>
        <w:adjustRightInd/>
        <w:snapToGrid/>
        <w:spacing w:line="440" w:lineRule="exact"/>
        <w:ind w:firstLine="1680" w:firstLineChars="700"/>
        <w:textAlignment w:val="auto"/>
        <w:rPr>
          <w:rFonts w:hint="eastAsia" w:ascii="宋体" w:hAnsi="宋体"/>
          <w:sz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33655</wp:posOffset>
                </wp:positionV>
                <wp:extent cx="5486400" cy="2905125"/>
                <wp:effectExtent l="6350" t="6350" r="12700" b="22225"/>
                <wp:wrapNone/>
                <wp:docPr id="30" name="矩形 30"/>
                <wp:cNvGraphicFramePr/>
                <a:graphic xmlns:a="http://schemas.openxmlformats.org/drawingml/2006/main">
                  <a:graphicData uri="http://schemas.microsoft.com/office/word/2010/wordprocessingShape">
                    <wps:wsp>
                      <wps:cNvSpPr/>
                      <wps:spPr>
                        <a:xfrm>
                          <a:off x="1051560" y="1227455"/>
                          <a:ext cx="5486400" cy="2905125"/>
                        </a:xfrm>
                        <a:prstGeom prst="rect">
                          <a:avLst/>
                        </a:prstGeom>
                        <a:noFill/>
                        <a:extLst>
                          <a:ext uri="{909E8E84-426E-40DD-AFC4-6F175D3DCCD1}">
                            <a14:hiddenFill xmlns:a14="http://schemas.microsoft.com/office/drawing/2010/main">
                              <a:solidFill>
                                <a:schemeClr val="lt1"/>
                              </a:solidFill>
                            </a14:hiddenFill>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pt;margin-top:2.65pt;height:228.75pt;width:432pt;z-index:251661312;v-text-anchor:middle;mso-width-relative:page;mso-height-relative:page;" filled="f" stroked="t" coordsize="21600,21600" o:gfxdata="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g&#10;Y2UC2AAAAAkBAAAPAAAAAAAAAAEAIAAAACIAAABkcnMvZG93bnJldi54bWxQSwECFAAUAAAACACH&#10;TuJAzs8Hks8CAADCBQAADgAAAAAAAAABACAAAAAnAQAAZHJzL2Uyb0RvYy54bWxQSwUGAAAAAAYA&#10;BgBZAQAAaAYAAAAA&#10;">
                <v:fill on="f" focussize="0,0"/>
                <v:stroke weight="1pt" color="#000000 [3200]" miterlimit="8" joinstyle="miter"/>
                <v:imagedata o:title=""/>
                <o:lock v:ext="edit" aspectratio="f"/>
              </v:rect>
            </w:pict>
          </mc:Fallback>
        </mc:AlternateContent>
      </w:r>
      <w:r>
        <w:rPr>
          <w:rFonts w:hint="eastAsia" w:ascii="宋体" w:hAnsi="宋体"/>
          <w:sz w:val="24"/>
          <w:lang w:eastAsia="zh-CN"/>
        </w:rPr>
        <w:t>用分类的思想解决数字排列问题的习题</w:t>
      </w:r>
    </w:p>
    <w:p>
      <w:pPr>
        <w:rPr>
          <w:rFonts w:hint="eastAsia"/>
          <w:lang w:val="en-US" w:eastAsia="zh-CN"/>
        </w:rPr>
      </w:pPr>
      <w:r>
        <w:rPr>
          <w:rFonts w:hint="eastAsia"/>
          <w:sz w:val="24"/>
          <w:szCs w:val="32"/>
          <w:lang w:val="en-US" w:eastAsia="zh-CN"/>
        </w:rPr>
        <w:t>1号学习单：</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已知密码是由1、3、5中的两个数字组成的两位数，且十位和个位上的数字不能一样，密码可能是多少呢？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1"/>
          <w:szCs w:val="24"/>
          <w:lang w:val="en-US" w:eastAsia="zh-CN"/>
        </w:rPr>
      </w:pPr>
    </w:p>
    <w:p>
      <w:pPr>
        <w:rPr>
          <w:rFonts w:hint="eastAsia"/>
          <w:lang w:val="en-US" w:eastAsia="zh-CN"/>
        </w:rPr>
      </w:pPr>
      <w:r>
        <w:rPr>
          <w:rFonts w:hint="eastAsia" w:ascii="宋体" w:hAnsi="宋体" w:eastAsia="宋体" w:cs="宋体"/>
          <w:sz w:val="24"/>
          <w:szCs w:val="32"/>
          <w:lang w:val="en-US" w:eastAsia="zh-CN"/>
        </w:rPr>
        <w:t>2号学习单：</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sz w:val="24"/>
          <w:szCs w:val="32"/>
          <w:lang w:val="en-US" w:eastAsia="zh-CN"/>
        </w:rPr>
        <w:t>用3、4、6三张数字卡片，可以排成几个不同的三位数密码？</w:t>
      </w:r>
    </w:p>
    <w:p>
      <w:pPr>
        <w:bidi w:val="0"/>
        <w:rPr>
          <w:rFonts w:hint="default"/>
          <w:lang w:val="en-US" w:eastAsia="zh-CN"/>
        </w:rPr>
      </w:pPr>
    </w:p>
    <w:p>
      <w:pPr>
        <w:rPr>
          <w:rFonts w:hint="eastAsia"/>
          <w:lang w:val="en-US" w:eastAsia="zh-CN"/>
        </w:rPr>
      </w:pPr>
    </w:p>
    <w:p>
      <w:pPr>
        <w:rPr>
          <w:rFonts w:hint="eastAsia"/>
          <w:sz w:val="24"/>
          <w:szCs w:val="32"/>
          <w:lang w:val="en-US" w:eastAsia="zh-CN"/>
        </w:rPr>
      </w:pPr>
      <w:r>
        <w:rPr>
          <w:rFonts w:hint="eastAsia"/>
          <w:sz w:val="24"/>
          <w:szCs w:val="32"/>
          <w:lang w:val="en-US" w:eastAsia="zh-CN"/>
        </w:rPr>
        <w:t>3号学习单 ：</w:t>
      </w:r>
      <w:bookmarkStart w:id="0" w:name="_GoBack"/>
      <w:bookmarkEnd w:id="0"/>
      <w:r>
        <w:rPr>
          <w:rFonts w:hint="eastAsia"/>
          <w:sz w:val="24"/>
          <w:szCs w:val="32"/>
          <w:lang w:val="en-US" w:eastAsia="zh-CN"/>
        </w:rPr>
        <w:t xml:space="preserve">                                        </w:t>
      </w:r>
    </w:p>
    <w:p>
      <w:pPr>
        <w:ind w:firstLine="480" w:firstLineChars="200"/>
        <w:rPr>
          <w:rFonts w:hint="eastAsia" w:ascii="宋体" w:hAnsi="宋体" w:eastAsia="宋体" w:cs="宋体"/>
          <w:sz w:val="24"/>
          <w:szCs w:val="32"/>
          <w:lang w:val="en-US" w:eastAsia="zh-CN"/>
        </w:rPr>
      </w:pPr>
      <w:r>
        <w:rPr>
          <w:sz w:val="24"/>
        </w:rPr>
        <mc:AlternateContent>
          <mc:Choice Requires="wpg">
            <w:drawing>
              <wp:anchor distT="0" distB="0" distL="114300" distR="114300" simplePos="0" relativeHeight="251660288" behindDoc="0" locked="0" layoutInCell="1" allowOverlap="1">
                <wp:simplePos x="0" y="0"/>
                <wp:positionH relativeFrom="column">
                  <wp:posOffset>413385</wp:posOffset>
                </wp:positionH>
                <wp:positionV relativeFrom="paragraph">
                  <wp:posOffset>117475</wp:posOffset>
                </wp:positionV>
                <wp:extent cx="1266825" cy="252095"/>
                <wp:effectExtent l="6350" t="0" r="22225" b="22860"/>
                <wp:wrapNone/>
                <wp:docPr id="24" name="组合 24"/>
                <wp:cNvGraphicFramePr/>
                <a:graphic xmlns:a="http://schemas.openxmlformats.org/drawingml/2006/main">
                  <a:graphicData uri="http://schemas.microsoft.com/office/word/2010/wordprocessingGroup">
                    <wpg:wgp>
                      <wpg:cNvGrpSpPr/>
                      <wpg:grpSpPr>
                        <a:xfrm>
                          <a:off x="0" y="0"/>
                          <a:ext cx="1266825" cy="252095"/>
                          <a:chOff x="3945" y="12476"/>
                          <a:chExt cx="1995" cy="397"/>
                        </a:xfrm>
                      </wpg:grpSpPr>
                      <wps:wsp>
                        <wps:cNvPr id="25" name="矩形 4"/>
                        <wps:cNvSpPr/>
                        <wps:spPr>
                          <a:xfrm>
                            <a:off x="3945" y="12559"/>
                            <a:ext cx="345" cy="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流程图: 联系 5"/>
                        <wps:cNvSpPr/>
                        <wps:spPr>
                          <a:xfrm>
                            <a:off x="5580" y="12529"/>
                            <a:ext cx="360" cy="34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等腰三角形 6"/>
                        <wps:cNvSpPr/>
                        <wps:spPr>
                          <a:xfrm>
                            <a:off x="4575" y="12559"/>
                            <a:ext cx="330" cy="2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等腰三角形 9"/>
                        <wps:cNvSpPr/>
                        <wps:spPr>
                          <a:xfrm rot="3420000">
                            <a:off x="5100" y="12499"/>
                            <a:ext cx="330" cy="2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2.55pt;margin-top:9.25pt;height:19.85pt;width:99.75pt;z-index:251660288;mso-width-relative:page;mso-height-relative:page;" coordorigin="3945,12476" coordsize="1995,397" o:gfxdata="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LAO2wzZAAAACAEAAA8AAAAAAAAAAQAgAAAAIgAAAGRycy9kb3ducmV2LnhtbFBLAQIUABQAAAAI&#10;AIdO4kCxPm0utAMAAAkPAAAOAAAAAAAAAAEAIAAAACgBAABkcnMvZTJvRG9jLnhtbFBLBQYAAAAA&#10;BgAGAFkBAABOBwAAAAA=&#10;">
                <o:lock v:ext="edit" aspectratio="f"/>
                <v:rect id="矩形 4" o:spid="_x0000_s1026" o:spt="1" style="position:absolute;left:3945;top:12559;height:315;width:345;v-text-anchor:middle;" filled="f" stroked="t" coordsize="21600,21600" o:gfxdata="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8/c4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shape id="流程图: 联系 5" o:spid="_x0000_s1026" o:spt="120" type="#_x0000_t120" style="position:absolute;left:5580;top:12529;height:345;width:360;v-text-anchor:middle;" filled="f" stroked="t" coordsize="21600,21600" o:gfxdata="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Ip+Z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等腰三角形 6" o:spid="_x0000_s1026" o:spt="5" type="#_x0000_t5" style="position:absolute;left:4575;top:12559;height:285;width:330;v-text-anchor:middle;" filled="f" stroked="t" coordsize="21600,21600" o:gfxdata="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Ix7sAAADb&#10;AAAADwAAAAAAAAABACAAAAAiAAAAZHJzL2Rvd25yZXYueG1sUEsBAhQAFAAAAAgAh07iQDMvBZ47&#10;AAAAOQAAABAAAAAAAAAAAQAgAAAACgEAAGRycy9zaGFwZXhtbC54bWxQSwUGAAAAAAYABgBbAQAA&#10;tAMAAAAA&#10;" adj="10800">
                  <v:fill on="f" focussize="0,0"/>
                  <v:stroke weight="1pt" color="#000000 [3213]" miterlimit="8" joinstyle="miter"/>
                  <v:imagedata o:title=""/>
                  <o:lock v:ext="edit" aspectratio="f"/>
                </v:shape>
                <v:shape id="等腰三角形 9" o:spid="_x0000_s1026" o:spt="5" type="#_x0000_t5" style="position:absolute;left:5100;top:12499;height:285;width:330;rotation:3735552f;v-text-anchor:middle;" filled="f" stroked="t" coordsize="21600,21600" o:gfxdata="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UkDO8AAAA&#10;2wAAAA8AAAAAAAAAAQAgAAAAIgAAAGRycy9kb3ducmV2LnhtbFBLAQIUABQAAAAIAIdO4kAzLwWe&#10;OwAAADkAAAAQAAAAAAAAAAEAIAAAAAsBAABkcnMvc2hhcGV4bWwueG1sUEsFBgAAAAAGAAYAWwEA&#10;ALUDAAAAAA==&#10;" adj="10800">
                  <v:fill on="f" focussize="0,0"/>
                  <v:stroke weight="1pt" color="#000000 [3213]" miterlimit="8" joinstyle="miter"/>
                  <v:imagedata o:title=""/>
                  <o:lock v:ext="edit" aspectratio="f"/>
                </v:shape>
              </v:group>
            </w:pict>
          </mc:Fallback>
        </mc:AlternateContent>
      </w:r>
    </w:p>
    <w:p>
      <w:pPr>
        <w:bidi w:val="0"/>
        <w:jc w:val="both"/>
        <w:rPr>
          <w:rFonts w:hint="default"/>
          <w:lang w:val="en-US" w:eastAsia="zh-CN"/>
        </w:rPr>
      </w:pPr>
    </w:p>
    <w:p>
      <w:pPr>
        <w:bidi w:val="0"/>
        <w:jc w:val="both"/>
        <w:rPr>
          <w:rFonts w:hint="default"/>
          <w:lang w:val="en-US" w:eastAsia="zh-CN"/>
        </w:rPr>
      </w:pPr>
      <w:r>
        <w:rPr>
          <w:rFonts w:hint="eastAsia"/>
          <w:lang w:val="en-US" w:eastAsia="zh-CN"/>
        </w:rPr>
        <w:t>四种图形可以怎么组合呢？</w:t>
      </w:r>
    </w:p>
    <w:p>
      <w:pPr>
        <w:bidi w:val="0"/>
        <w:jc w:val="both"/>
        <w:rPr>
          <w:rFonts w:hint="default"/>
          <w:lang w:val="en-US" w:eastAsia="zh-CN"/>
        </w:rPr>
      </w:pPr>
    </w:p>
    <w:p>
      <w:pPr>
        <w:bidi w:val="0"/>
        <w:jc w:val="both"/>
        <w:rPr>
          <w:rFonts w:hint="default"/>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6350</wp:posOffset>
                </wp:positionV>
                <wp:extent cx="5619750" cy="5295900"/>
                <wp:effectExtent l="6350" t="6350" r="12700" b="12700"/>
                <wp:wrapNone/>
                <wp:docPr id="31" name="矩形 31"/>
                <wp:cNvGraphicFramePr/>
                <a:graphic xmlns:a="http://schemas.openxmlformats.org/drawingml/2006/main">
                  <a:graphicData uri="http://schemas.microsoft.com/office/word/2010/wordprocessingShape">
                    <wps:wsp>
                      <wps:cNvSpPr/>
                      <wps:spPr>
                        <a:xfrm>
                          <a:off x="0" y="0"/>
                          <a:ext cx="5619750" cy="52959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5pt;margin-top:0.5pt;height:417pt;width:442.5pt;z-index:251662336;v-text-anchor:middle;mso-width-relative:page;mso-height-relative:page;" filled="f" stroked="t" coordsize="21600,21600" o:gfxdata="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DUc5NoAAAAKAQAADwAAAAAAAAABACAAAAAiAAAAZHJzL2Rvd25yZXYueG1s&#10;UEsBAhQAFAAAAAgAh07iQDymES1oAgAAzgQAAA4AAAAAAAAAAQAgAAAAKQEAAGRycy9lMm9Eb2Mu&#10;eG1sUEsFBgAAAAAGAAYAWQEAAAMGAAAAAA==&#10;">
                <v:fill on="f" focussize="0,0"/>
                <v:stroke weight="1pt" color="#000000 [3200]" miterlimit="8" joinstyle="miter"/>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firstLine="1680" w:firstLineChars="700"/>
        <w:textAlignment w:val="auto"/>
        <w:rPr>
          <w:rFonts w:hint="eastAsia" w:ascii="宋体" w:hAnsi="宋体"/>
          <w:sz w:val="24"/>
          <w:lang w:eastAsia="zh-CN"/>
        </w:rPr>
      </w:pPr>
      <w:r>
        <w:rPr>
          <w:rFonts w:hint="eastAsia" w:ascii="宋体" w:hAnsi="宋体"/>
          <w:sz w:val="24"/>
          <w:lang w:eastAsia="zh-CN"/>
        </w:rPr>
        <w:t>用分类的思想解决烙饼问题的习题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val="en-US" w:eastAsia="zh-CN"/>
        </w:rPr>
      </w:pPr>
      <w:r>
        <w:rPr>
          <w:rFonts w:hint="eastAsia" w:ascii="宋体" w:hAnsi="宋体"/>
          <w:sz w:val="24"/>
          <w:lang w:val="en-US" w:eastAsia="zh-CN"/>
        </w:rPr>
        <w:t>学习单一：</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sz w:val="24"/>
          <w:lang w:val="en-US" w:eastAsia="zh-CN"/>
        </w:rPr>
      </w:pPr>
      <w:r>
        <w:rPr>
          <w:rFonts w:hint="eastAsia" w:ascii="宋体" w:hAnsi="宋体"/>
          <w:sz w:val="24"/>
          <w:lang w:val="en-US" w:eastAsia="zh-CN"/>
        </w:rPr>
        <w:t>烙3张饼最少需要几分钟？想一想,把你的想法记录下来。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val="en-US" w:eastAsia="zh-CN"/>
        </w:rPr>
      </w:pPr>
    </w:p>
    <w:p>
      <w:pPr>
        <w:bidi w:val="0"/>
        <w:jc w:val="both"/>
        <w:rPr>
          <w:rFonts w:hint="eastAsia" w:ascii="宋体" w:hAnsi="宋体"/>
          <w:sz w:val="24"/>
          <w:lang w:eastAsia="zh-CN"/>
        </w:rPr>
      </w:pPr>
      <w:r>
        <w:rPr>
          <w:rFonts w:hint="eastAsia"/>
          <w:sz w:val="28"/>
          <w:szCs w:val="28"/>
          <w:lang w:val="en-US" w:eastAsia="zh-CN"/>
        </w:rPr>
        <w:t>学习单二：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val="en-US" w:eastAsia="zh-CN"/>
        </w:rPr>
      </w:pPr>
      <w:r>
        <w:rPr>
          <w:rFonts w:hint="eastAsia" w:ascii="宋体" w:hAnsi="宋体"/>
          <w:sz w:val="24"/>
          <w:lang w:eastAsia="zh-CN"/>
        </w:rPr>
        <w:t>填写下面的表格，和同桌说说你有什么发现吗？</w:t>
      </w:r>
    </w:p>
    <w:tbl>
      <w:tblPr>
        <w:tblStyle w:val="3"/>
        <w:tblpPr w:leftFromText="180" w:rightFromText="180" w:vertAnchor="text" w:horzAnchor="page" w:tblpX="1979" w:tblpY="78"/>
        <w:tblOverlap w:val="never"/>
        <w:tblW w:w="8378"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1027"/>
        <w:gridCol w:w="4816"/>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21"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rPr>
                <w:sz w:val="24"/>
                <w:szCs w:val="24"/>
              </w:rPr>
            </w:pPr>
            <w:r>
              <w:rPr>
                <w:rFonts w:ascii="楷体" w:hAnsi="楷体" w:eastAsia="楷体" w:cs="楷体"/>
                <w:b/>
                <w:bCs/>
                <w:color w:val="494949"/>
                <w:sz w:val="24"/>
                <w:szCs w:val="24"/>
              </w:rPr>
              <w:t>饼</w:t>
            </w:r>
            <w:r>
              <w:rPr>
                <w:rFonts w:hint="eastAsia" w:ascii="楷体" w:hAnsi="楷体" w:eastAsia="楷体" w:cs="楷体"/>
                <w:b/>
                <w:bCs/>
                <w:color w:val="494949"/>
                <w:sz w:val="24"/>
                <w:szCs w:val="24"/>
                <w:lang w:val="en-US" w:eastAsia="zh-CN"/>
              </w:rPr>
              <w:t>的张</w:t>
            </w:r>
            <w:r>
              <w:rPr>
                <w:rFonts w:ascii="楷体" w:hAnsi="楷体" w:eastAsia="楷体" w:cs="楷体"/>
                <w:b/>
                <w:bCs/>
                <w:color w:val="494949"/>
                <w:sz w:val="24"/>
                <w:szCs w:val="24"/>
              </w:rPr>
              <w:t>数</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ind w:firstLine="1687" w:firstLineChars="700"/>
              <w:rPr>
                <w:rFonts w:hint="default" w:ascii="楷体" w:hAnsi="楷体" w:eastAsia="楷体" w:cs="楷体"/>
                <w:b/>
                <w:bCs/>
                <w:color w:val="494949"/>
                <w:sz w:val="24"/>
                <w:szCs w:val="24"/>
                <w:lang w:val="en-US" w:eastAsia="zh-CN"/>
              </w:rPr>
            </w:pPr>
            <w:r>
              <w:rPr>
                <w:rFonts w:hint="eastAsia" w:ascii="楷体" w:hAnsi="楷体" w:eastAsia="楷体" w:cs="楷体"/>
                <w:b/>
                <w:bCs/>
                <w:color w:val="494949"/>
                <w:sz w:val="24"/>
                <w:szCs w:val="24"/>
              </w:rPr>
              <w:t>烙 饼 </w:t>
            </w:r>
            <w:r>
              <w:rPr>
                <w:rFonts w:hint="eastAsia" w:ascii="楷体" w:hAnsi="楷体" w:eastAsia="楷体" w:cs="楷体"/>
                <w:b/>
                <w:bCs/>
                <w:color w:val="494949"/>
                <w:sz w:val="24"/>
                <w:szCs w:val="24"/>
                <w:lang w:val="en-US" w:eastAsia="zh-CN"/>
              </w:rPr>
              <w:t>的</w:t>
            </w:r>
            <w:r>
              <w:rPr>
                <w:rFonts w:hint="eastAsia" w:ascii="楷体" w:hAnsi="楷体" w:eastAsia="楷体" w:cs="楷体"/>
                <w:b/>
                <w:bCs/>
                <w:color w:val="494949"/>
                <w:sz w:val="24"/>
                <w:szCs w:val="24"/>
              </w:rPr>
              <w:t>方 法</w:t>
            </w:r>
            <w:r>
              <w:rPr>
                <w:rFonts w:hint="eastAsia" w:ascii="楷体" w:hAnsi="楷体" w:eastAsia="楷体" w:cs="楷体"/>
                <w:b/>
                <w:bCs/>
                <w:color w:val="494949"/>
                <w:sz w:val="24"/>
                <w:szCs w:val="24"/>
                <w:lang w:val="en-US" w:eastAsia="zh-CN"/>
              </w:rPr>
              <w:t>记录</w:t>
            </w: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rPr>
                <w:rFonts w:hint="eastAsia" w:eastAsia="楷体"/>
                <w:sz w:val="24"/>
                <w:szCs w:val="24"/>
                <w:lang w:val="en-US" w:eastAsia="zh-CN"/>
              </w:rPr>
            </w:pPr>
            <w:r>
              <w:rPr>
                <w:rFonts w:hint="eastAsia" w:ascii="楷体" w:hAnsi="楷体" w:eastAsia="楷体" w:cs="楷体"/>
                <w:b/>
                <w:bCs/>
                <w:color w:val="494949"/>
                <w:sz w:val="24"/>
                <w:szCs w:val="24"/>
              </w:rPr>
              <w:t>最少所需的时间</w:t>
            </w:r>
            <w:r>
              <w:rPr>
                <w:rFonts w:hint="eastAsia" w:ascii="楷体" w:hAnsi="楷体" w:eastAsia="楷体" w:cs="楷体"/>
                <w:b/>
                <w:bCs/>
                <w:color w:val="494949"/>
                <w:sz w:val="24"/>
                <w:szCs w:val="24"/>
                <w:lang w:eastAsia="zh-CN"/>
              </w:rPr>
              <w:t>（</w:t>
            </w:r>
            <w:r>
              <w:rPr>
                <w:rFonts w:hint="eastAsia" w:ascii="楷体" w:hAnsi="楷体" w:eastAsia="楷体" w:cs="楷体"/>
                <w:b/>
                <w:bCs/>
                <w:color w:val="494949"/>
                <w:sz w:val="24"/>
                <w:szCs w:val="24"/>
                <w:lang w:val="en-US" w:eastAsia="zh-CN"/>
              </w:rPr>
              <w:t>分</w:t>
            </w:r>
            <w:r>
              <w:rPr>
                <w:rFonts w:hint="eastAsia" w:ascii="楷体" w:hAnsi="楷体" w:eastAsia="楷体" w:cs="楷体"/>
                <w:b/>
                <w:bCs/>
                <w:color w:val="494949"/>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241" w:firstLineChars="100"/>
              <w:rPr>
                <w:sz w:val="24"/>
                <w:szCs w:val="24"/>
              </w:rPr>
            </w:pPr>
            <w:r>
              <w:rPr>
                <w:rFonts w:hint="eastAsia" w:ascii="楷体" w:hAnsi="楷体" w:eastAsia="楷体" w:cs="楷体"/>
                <w:b/>
                <w:bCs/>
                <w:color w:val="494949"/>
                <w:sz w:val="24"/>
                <w:szCs w:val="24"/>
              </w:rPr>
              <w:t>2张</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ind w:firstLine="482" w:firstLineChars="200"/>
              <w:rPr>
                <w:rFonts w:hint="default" w:ascii="楷体" w:hAnsi="楷体" w:eastAsia="楷体" w:cs="楷体"/>
                <w:b/>
                <w:bCs/>
                <w:color w:val="494949"/>
                <w:sz w:val="24"/>
                <w:szCs w:val="24"/>
                <w:lang w:val="en-US" w:eastAsia="zh-CN"/>
              </w:rPr>
            </w:pPr>
            <w:r>
              <w:rPr>
                <w:rFonts w:hint="eastAsia" w:ascii="楷体" w:hAnsi="楷体" w:eastAsia="楷体" w:cs="楷体"/>
                <w:b/>
                <w:bCs/>
                <w:color w:val="494949"/>
                <w:sz w:val="24"/>
                <w:szCs w:val="24"/>
                <w:lang w:val="en-US" w:eastAsia="zh-CN"/>
              </w:rPr>
              <w:t>同时烙</w:t>
            </w: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720" w:firstLineChars="300"/>
              <w:rPr>
                <w:rFonts w:hint="default" w:eastAsia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241" w:firstLineChars="100"/>
              <w:rPr>
                <w:sz w:val="24"/>
                <w:szCs w:val="24"/>
              </w:rPr>
            </w:pPr>
            <w:r>
              <w:rPr>
                <w:rFonts w:hint="eastAsia" w:ascii="楷体" w:hAnsi="楷体" w:eastAsia="楷体" w:cs="楷体"/>
                <w:b/>
                <w:bCs/>
                <w:color w:val="494949"/>
                <w:sz w:val="24"/>
                <w:szCs w:val="24"/>
              </w:rPr>
              <w:t>3张</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tabs>
                <w:tab w:val="right" w:pos="3979"/>
              </w:tabs>
              <w:ind w:firstLine="482" w:firstLineChars="200"/>
              <w:rPr>
                <w:rFonts w:hint="eastAsia" w:ascii="楷体" w:hAnsi="楷体" w:eastAsia="楷体" w:cs="楷体"/>
                <w:b/>
                <w:bCs/>
                <w:color w:val="494949"/>
                <w:sz w:val="24"/>
                <w:szCs w:val="24"/>
                <w:lang w:val="en-US" w:eastAsia="zh-CN"/>
              </w:rPr>
            </w:pPr>
            <w:r>
              <w:rPr>
                <w:rFonts w:hint="eastAsia" w:ascii="楷体" w:hAnsi="楷体" w:eastAsia="楷体" w:cs="楷体"/>
                <w:b/>
                <w:bCs/>
                <w:color w:val="494949"/>
                <w:sz w:val="24"/>
                <w:szCs w:val="24"/>
                <w:lang w:val="en-US" w:eastAsia="zh-CN"/>
              </w:rPr>
              <w:t>交替烙</w:t>
            </w:r>
            <w:r>
              <w:rPr>
                <w:rFonts w:hint="eastAsia" w:ascii="楷体" w:hAnsi="楷体" w:eastAsia="楷体" w:cs="楷体"/>
                <w:b/>
                <w:bCs/>
                <w:color w:val="494949"/>
                <w:sz w:val="24"/>
                <w:szCs w:val="24"/>
                <w:lang w:eastAsia="zh-CN"/>
              </w:rPr>
              <w:tab/>
            </w: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720" w:firstLineChars="30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241" w:firstLineChars="100"/>
              <w:rPr>
                <w:sz w:val="24"/>
                <w:szCs w:val="24"/>
              </w:rPr>
            </w:pPr>
            <w:r>
              <w:rPr>
                <w:rFonts w:hint="eastAsia" w:ascii="楷体" w:hAnsi="楷体" w:eastAsia="楷体" w:cs="楷体"/>
                <w:b/>
                <w:bCs/>
                <w:color w:val="494949"/>
                <w:sz w:val="24"/>
                <w:szCs w:val="24"/>
              </w:rPr>
              <w:t>4张</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ind w:firstLine="482" w:firstLineChars="200"/>
              <w:rPr>
                <w:rFonts w:hint="default" w:ascii="楷体" w:hAnsi="楷体" w:eastAsia="楷体" w:cs="楷体"/>
                <w:b/>
                <w:bCs/>
                <w:color w:val="494949"/>
                <w:sz w:val="24"/>
                <w:szCs w:val="24"/>
                <w:lang w:val="en-US" w:eastAsia="zh-CN"/>
              </w:rPr>
            </w:pPr>
            <w:r>
              <w:rPr>
                <w:rFonts w:hint="eastAsia" w:ascii="楷体" w:hAnsi="楷体" w:eastAsia="楷体" w:cs="楷体"/>
                <w:b/>
                <w:bCs/>
                <w:color w:val="494949"/>
                <w:sz w:val="24"/>
                <w:szCs w:val="24"/>
                <w:lang w:val="en-US" w:eastAsia="zh-CN"/>
              </w:rPr>
              <w:t xml:space="preserve">      </w:t>
            </w: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720" w:firstLineChars="300"/>
              <w:rPr>
                <w:rFonts w:hint="default"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241" w:firstLineChars="100"/>
              <w:rPr>
                <w:sz w:val="24"/>
                <w:szCs w:val="24"/>
              </w:rPr>
            </w:pPr>
            <w:r>
              <w:rPr>
                <w:rFonts w:hint="eastAsia" w:ascii="楷体" w:hAnsi="楷体" w:eastAsia="楷体" w:cs="楷体"/>
                <w:b/>
                <w:bCs/>
                <w:color w:val="494949"/>
                <w:sz w:val="24"/>
                <w:szCs w:val="24"/>
              </w:rPr>
              <w:t>5张</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ind w:firstLine="482" w:firstLineChars="200"/>
              <w:rPr>
                <w:rFonts w:hint="default" w:ascii="楷体" w:hAnsi="楷体" w:eastAsia="楷体" w:cs="楷体"/>
                <w:b/>
                <w:bCs/>
                <w:color w:val="494949"/>
                <w:sz w:val="24"/>
                <w:szCs w:val="24"/>
                <w:lang w:val="en-US" w:eastAsia="zh-CN"/>
              </w:rPr>
            </w:pP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720" w:firstLineChars="30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241" w:firstLineChars="100"/>
              <w:rPr>
                <w:sz w:val="24"/>
                <w:szCs w:val="24"/>
              </w:rPr>
            </w:pPr>
            <w:r>
              <w:rPr>
                <w:rFonts w:hint="eastAsia" w:ascii="楷体" w:hAnsi="楷体" w:eastAsia="楷体" w:cs="楷体"/>
                <w:b/>
                <w:bCs/>
                <w:color w:val="494949"/>
                <w:sz w:val="24"/>
                <w:szCs w:val="24"/>
              </w:rPr>
              <w:t>6张</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ind w:firstLine="482" w:firstLineChars="200"/>
              <w:rPr>
                <w:rFonts w:hint="eastAsia" w:ascii="楷体" w:hAnsi="楷体" w:eastAsia="楷体" w:cs="楷体"/>
                <w:b/>
                <w:bCs/>
                <w:color w:val="494949"/>
                <w:sz w:val="24"/>
                <w:szCs w:val="24"/>
              </w:rPr>
            </w:pP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241" w:firstLineChars="100"/>
              <w:rPr>
                <w:sz w:val="24"/>
                <w:szCs w:val="24"/>
              </w:rPr>
            </w:pPr>
            <w:r>
              <w:rPr>
                <w:rFonts w:hint="eastAsia" w:ascii="楷体" w:hAnsi="楷体" w:eastAsia="楷体" w:cs="楷体"/>
                <w:b/>
                <w:bCs/>
                <w:color w:val="494949"/>
                <w:sz w:val="24"/>
                <w:szCs w:val="24"/>
              </w:rPr>
              <w:t>7张</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ind w:firstLine="482" w:firstLineChars="200"/>
              <w:rPr>
                <w:rFonts w:hint="eastAsia" w:ascii="楷体" w:hAnsi="楷体" w:eastAsia="楷体" w:cs="楷体"/>
                <w:b/>
                <w:bCs/>
                <w:color w:val="494949"/>
                <w:sz w:val="24"/>
                <w:szCs w:val="24"/>
              </w:rPr>
            </w:pPr>
            <w:r>
              <w:rPr>
                <w:rFonts w:hint="eastAsia" w:ascii="楷体" w:hAnsi="楷体" w:eastAsia="楷体" w:cs="楷体"/>
                <w:b/>
                <w:bCs/>
                <w:color w:val="494949"/>
                <w:sz w:val="24"/>
                <w:szCs w:val="24"/>
              </w:rPr>
              <w:t> </w:t>
            </w:r>
            <w:r>
              <w:rPr>
                <w:rFonts w:hint="eastAsia" w:ascii="楷体" w:hAnsi="楷体" w:eastAsia="楷体" w:cs="楷体"/>
                <w:b/>
                <w:bCs/>
                <w:color w:val="494949"/>
                <w:sz w:val="24"/>
                <w:szCs w:val="24"/>
                <w:lang w:val="en-US" w:eastAsia="zh-CN"/>
              </w:rPr>
              <w:t xml:space="preserve">   </w:t>
            </w: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241" w:firstLineChars="100"/>
              <w:rPr>
                <w:sz w:val="24"/>
                <w:szCs w:val="24"/>
              </w:rPr>
            </w:pPr>
            <w:r>
              <w:rPr>
                <w:rFonts w:hint="eastAsia" w:ascii="楷体" w:hAnsi="楷体" w:eastAsia="楷体" w:cs="楷体"/>
                <w:b/>
                <w:bCs/>
                <w:color w:val="494949"/>
                <w:sz w:val="24"/>
                <w:szCs w:val="24"/>
              </w:rPr>
              <w:t>8张</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ind w:firstLine="482" w:firstLineChars="200"/>
              <w:rPr>
                <w:rFonts w:hint="eastAsia" w:ascii="楷体" w:hAnsi="楷体" w:eastAsia="楷体" w:cs="楷体"/>
                <w:b/>
                <w:bCs/>
                <w:color w:val="494949"/>
                <w:sz w:val="24"/>
                <w:szCs w:val="24"/>
              </w:rPr>
            </w:pPr>
            <w:r>
              <w:rPr>
                <w:rFonts w:hint="eastAsia" w:ascii="楷体" w:hAnsi="楷体" w:eastAsia="楷体" w:cs="楷体"/>
                <w:b/>
                <w:bCs/>
                <w:color w:val="494949"/>
                <w:sz w:val="24"/>
                <w:szCs w:val="24"/>
              </w:rPr>
              <w:t> </w:t>
            </w:r>
            <w:r>
              <w:rPr>
                <w:rFonts w:hint="eastAsia" w:ascii="楷体" w:hAnsi="楷体" w:eastAsia="楷体" w:cs="楷体"/>
                <w:b/>
                <w:bCs/>
                <w:color w:val="494949"/>
                <w:sz w:val="24"/>
                <w:szCs w:val="24"/>
                <w:lang w:val="en-US" w:eastAsia="zh-CN"/>
              </w:rPr>
              <w:t xml:space="preserve">  </w:t>
            </w: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241" w:firstLineChars="100"/>
              <w:rPr>
                <w:sz w:val="24"/>
                <w:szCs w:val="24"/>
              </w:rPr>
            </w:pPr>
            <w:r>
              <w:rPr>
                <w:rFonts w:hint="eastAsia" w:ascii="楷体" w:hAnsi="楷体" w:eastAsia="楷体" w:cs="楷体"/>
                <w:b/>
                <w:bCs/>
                <w:color w:val="494949"/>
                <w:sz w:val="24"/>
                <w:szCs w:val="24"/>
              </w:rPr>
              <w:t>9张</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ind w:firstLine="482" w:firstLineChars="200"/>
              <w:rPr>
                <w:rFonts w:hint="eastAsia" w:ascii="楷体" w:hAnsi="楷体" w:eastAsia="楷体" w:cs="楷体"/>
                <w:b/>
                <w:bCs/>
                <w:color w:val="494949"/>
                <w:sz w:val="24"/>
                <w:szCs w:val="24"/>
              </w:rPr>
            </w:pPr>
            <w:r>
              <w:rPr>
                <w:rFonts w:hint="eastAsia" w:ascii="楷体" w:hAnsi="楷体" w:eastAsia="楷体" w:cs="楷体"/>
                <w:b/>
                <w:bCs/>
                <w:color w:val="494949"/>
                <w:sz w:val="24"/>
                <w:szCs w:val="24"/>
              </w:rPr>
              <w:t> </w:t>
            </w:r>
            <w:r>
              <w:rPr>
                <w:rFonts w:hint="eastAsia" w:ascii="楷体" w:hAnsi="楷体" w:eastAsia="楷体" w:cs="楷体"/>
                <w:b/>
                <w:bCs/>
                <w:color w:val="494949"/>
                <w:sz w:val="24"/>
                <w:szCs w:val="24"/>
                <w:lang w:val="en-US" w:eastAsia="zh-CN"/>
              </w:rPr>
              <w:t xml:space="preserve">   </w:t>
            </w: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blCellSpacing w:w="0" w:type="dxa"/>
        </w:trPr>
        <w:tc>
          <w:tcPr>
            <w:tcW w:w="1027"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ind w:firstLine="241" w:firstLineChars="100"/>
              <w:rPr>
                <w:sz w:val="24"/>
                <w:szCs w:val="24"/>
              </w:rPr>
            </w:pPr>
            <w:r>
              <w:rPr>
                <w:rFonts w:hint="eastAsia" w:ascii="楷体" w:hAnsi="楷体" w:eastAsia="楷体" w:cs="楷体"/>
                <w:b/>
                <w:bCs/>
                <w:color w:val="494949"/>
                <w:sz w:val="24"/>
                <w:szCs w:val="24"/>
              </w:rPr>
              <w:t>10张</w:t>
            </w:r>
          </w:p>
        </w:tc>
        <w:tc>
          <w:tcPr>
            <w:tcW w:w="4816" w:type="dxa"/>
            <w:tcBorders>
              <w:top w:val="single" w:color="080000" w:sz="6" w:space="0"/>
              <w:left w:val="single" w:color="080000" w:sz="6" w:space="0"/>
              <w:bottom w:val="single" w:color="080000" w:sz="6" w:space="0"/>
              <w:right w:val="single" w:color="080000" w:sz="6" w:space="0"/>
            </w:tcBorders>
            <w:shd w:val="clear" w:color="auto" w:fill="FFFFFF" w:themeFill="background1"/>
            <w:vAlign w:val="top"/>
          </w:tcPr>
          <w:p>
            <w:pPr>
              <w:pStyle w:val="2"/>
              <w:keepNext w:val="0"/>
              <w:keepLines w:val="0"/>
              <w:widowControl/>
              <w:suppressLineNumbers w:val="0"/>
              <w:ind w:firstLine="482" w:firstLineChars="200"/>
              <w:rPr>
                <w:rFonts w:hint="eastAsia" w:ascii="楷体" w:hAnsi="楷体" w:eastAsia="楷体" w:cs="楷体"/>
                <w:b/>
                <w:bCs/>
                <w:color w:val="494949"/>
                <w:sz w:val="24"/>
                <w:szCs w:val="24"/>
              </w:rPr>
            </w:pPr>
            <w:r>
              <w:rPr>
                <w:rFonts w:hint="eastAsia" w:ascii="楷体" w:hAnsi="楷体" w:eastAsia="楷体" w:cs="楷体"/>
                <w:b/>
                <w:bCs/>
                <w:color w:val="494949"/>
                <w:sz w:val="24"/>
                <w:szCs w:val="24"/>
              </w:rPr>
              <w:t> </w:t>
            </w:r>
            <w:r>
              <w:rPr>
                <w:rFonts w:hint="eastAsia" w:ascii="楷体" w:hAnsi="楷体" w:eastAsia="楷体" w:cs="楷体"/>
                <w:b/>
                <w:bCs/>
                <w:color w:val="494949"/>
                <w:sz w:val="24"/>
                <w:szCs w:val="24"/>
                <w:lang w:val="en-US" w:eastAsia="zh-CN"/>
              </w:rPr>
              <w:t xml:space="preserve">    </w:t>
            </w:r>
          </w:p>
        </w:tc>
        <w:tc>
          <w:tcPr>
            <w:tcW w:w="2535" w:type="dxa"/>
            <w:tcBorders>
              <w:top w:val="single" w:color="080000" w:sz="6" w:space="0"/>
              <w:left w:val="single" w:color="080000" w:sz="6" w:space="0"/>
              <w:bottom w:val="single" w:color="080000" w:sz="6" w:space="0"/>
              <w:right w:val="single" w:color="080000" w:sz="6" w:space="0"/>
            </w:tcBorders>
            <w:shd w:val="clear" w:color="auto" w:fill="FFFFFF" w:themeFill="background1"/>
            <w:vAlign w:val="center"/>
          </w:tcPr>
          <w:p>
            <w:pPr>
              <w:pStyle w:val="2"/>
              <w:keepNext w:val="0"/>
              <w:keepLines w:val="0"/>
              <w:widowControl/>
              <w:suppressLineNumbers w:val="0"/>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eastAsia="zh-CN"/>
        </w:rPr>
      </w:pPr>
      <w:r>
        <w:rPr>
          <w:rFonts w:hint="eastAsia" w:ascii="宋体" w:hAnsi="宋体"/>
          <w:sz w:val="24"/>
          <w:lang w:val="en-US" w:eastAsia="zh-CN"/>
        </w:rPr>
        <w:t>2.</w:t>
      </w:r>
      <w:r>
        <w:rPr>
          <w:rFonts w:hint="eastAsia" w:ascii="宋体" w:hAnsi="宋体"/>
          <w:sz w:val="24"/>
          <w:lang w:eastAsia="zh-CN"/>
        </w:rPr>
        <w:t>渗透分类数学思想方法的课堂教学模式初步形成。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Theme="minorEastAsia"/>
          <w:sz w:val="24"/>
          <w:lang w:val="en-US" w:eastAsia="zh-CN"/>
        </w:rPr>
      </w:pPr>
      <w:r>
        <w:rPr>
          <w:rFonts w:hint="eastAsia" w:ascii="宋体" w:hAnsi="宋体"/>
          <w:sz w:val="24"/>
        </w:rPr>
        <w:t>数学想方法课型的价值内涵是超越了具体知识和技能的，因此数学思想方法的集中体悟不能局限于某一内容。必须为学生提供较为丰富多样的感知材料，提供多种类型的问题解决情境，让学生感悟到虽然内容不同、问题不同，但在不同的背后有相同的思想方法，进而形成使用这种思想方法的心理趋向。在例题的展开过程中</w:t>
      </w:r>
      <w:r>
        <w:rPr>
          <w:rFonts w:hint="eastAsia" w:ascii="宋体" w:hAnsi="宋体"/>
          <w:sz w:val="24"/>
          <w:lang w:eastAsia="zh-CN"/>
        </w:rPr>
        <w:t>参照《基于分类思想方法渗透的课例研究成果》，</w:t>
      </w:r>
      <w:r>
        <w:rPr>
          <w:rFonts w:hint="eastAsia" w:ascii="宋体" w:hAnsi="宋体"/>
          <w:sz w:val="24"/>
        </w:rPr>
        <w:t>按照“理解题意”、“理清关系”、“列式计算”、“回顾反思”四大板块组织</w:t>
      </w:r>
      <w:r>
        <w:rPr>
          <w:rFonts w:hint="eastAsia" w:ascii="宋体" w:hAnsi="宋体"/>
          <w:sz w:val="24"/>
          <w:lang w:eastAsia="zh-CN"/>
        </w:rPr>
        <w:t>教学</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w:t>数学思想是学生心理活动的产物，是体验的结果，可以教学，但难以言传，只能意会，学生的数学思想只能在自己的内部萌生，不能从外部输入。这就意味着</w:t>
      </w:r>
      <w:r>
        <w:rPr>
          <w:rFonts w:hint="eastAsia" w:ascii="宋体" w:hAnsi="宋体"/>
          <w:sz w:val="24"/>
          <w:lang w:eastAsia="zh-CN"/>
        </w:rPr>
        <w:t>渗透分类</w:t>
      </w:r>
      <w:r>
        <w:rPr>
          <w:rFonts w:hint="eastAsia" w:ascii="宋体" w:hAnsi="宋体"/>
          <w:sz w:val="24"/>
        </w:rPr>
        <w:t>数学思想课的教学必须展开丰富的教学过程，让学生在过程中悟，在活动中悟。这也意味着</w:t>
      </w:r>
      <w:r>
        <w:rPr>
          <w:rFonts w:hint="eastAsia" w:ascii="宋体" w:hAnsi="宋体"/>
          <w:sz w:val="24"/>
          <w:lang w:eastAsia="zh-CN"/>
        </w:rPr>
        <w:t>渗透分类</w:t>
      </w:r>
      <w:r>
        <w:rPr>
          <w:rFonts w:hint="eastAsia" w:ascii="宋体" w:hAnsi="宋体"/>
          <w:sz w:val="24"/>
        </w:rPr>
        <w:t>数学思想课的教学必须从传统的“以教为主”转变为“以学为主”，必须以学生的生成资源作为课堂的主要载体，必须以师与生、生与生的多维度交流为课堂的主要推动力量。</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w:t>基于这些认识，</w:t>
      </w:r>
      <w:r>
        <w:rPr>
          <w:rFonts w:hint="eastAsia" w:ascii="宋体" w:hAnsi="宋体"/>
          <w:sz w:val="24"/>
          <w:lang w:eastAsia="zh-CN"/>
        </w:rPr>
        <w:t>渗透分类</w:t>
      </w:r>
      <w:r>
        <w:rPr>
          <w:rFonts w:hint="eastAsia" w:ascii="宋体" w:hAnsi="宋体"/>
          <w:sz w:val="24"/>
        </w:rPr>
        <w:t>数学思想方法课主体部分一般的组织结构为：</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mc:AlternateContent>
          <mc:Choice Requires="wpg">
            <w:drawing>
              <wp:anchor distT="0" distB="0" distL="114300" distR="114300" simplePos="0" relativeHeight="251659264" behindDoc="0" locked="0" layoutInCell="1" allowOverlap="1">
                <wp:simplePos x="0" y="0"/>
                <wp:positionH relativeFrom="column">
                  <wp:posOffset>800100</wp:posOffset>
                </wp:positionH>
                <wp:positionV relativeFrom="paragraph">
                  <wp:posOffset>149860</wp:posOffset>
                </wp:positionV>
                <wp:extent cx="3429000" cy="2085975"/>
                <wp:effectExtent l="4445" t="0" r="14605" b="9525"/>
                <wp:wrapNone/>
                <wp:docPr id="21" name="组合 21"/>
                <wp:cNvGraphicFramePr/>
                <a:graphic xmlns:a="http://schemas.openxmlformats.org/drawingml/2006/main">
                  <a:graphicData uri="http://schemas.microsoft.com/office/word/2010/wordprocessingGroup">
                    <wpg:wgp>
                      <wpg:cNvGrpSpPr/>
                      <wpg:grpSpPr>
                        <a:xfrm>
                          <a:off x="0" y="0"/>
                          <a:ext cx="3429000" cy="2085975"/>
                          <a:chOff x="2700" y="3459"/>
                          <a:chExt cx="5400" cy="3285"/>
                        </a:xfrm>
                      </wpg:grpSpPr>
                      <wps:wsp>
                        <wps:cNvPr id="1" name="文本框 1"/>
                        <wps:cNvSpPr txBox="1"/>
                        <wps:spPr>
                          <a:xfrm>
                            <a:off x="2700" y="393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sz w:val="24"/>
                                </w:rPr>
                                <w:t>情境性的激活经验</w:t>
                              </w:r>
                            </w:p>
                          </w:txbxContent>
                        </wps:txbx>
                        <wps:bodyPr upright="1"/>
                      </wps:wsp>
                      <wps:wsp>
                        <wps:cNvPr id="2" name="文本框 2"/>
                        <wps:cNvSpPr txBox="1"/>
                        <wps:spPr>
                          <a:xfrm>
                            <a:off x="5760" y="393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问题化的有向引导</w:t>
                              </w:r>
                            </w:p>
                          </w:txbxContent>
                        </wps:txbx>
                        <wps:bodyPr upright="1"/>
                      </wps:wsp>
                      <wps:wsp>
                        <wps:cNvPr id="3" name="文本框 3"/>
                        <wps:cNvSpPr txBox="1"/>
                        <wps:spPr>
                          <a:xfrm>
                            <a:off x="2700" y="471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个性化的自主探索</w:t>
                              </w:r>
                            </w:p>
                          </w:txbxContent>
                        </wps:txbx>
                        <wps:bodyPr upright="1"/>
                      </wps:wsp>
                      <wps:wsp>
                        <wps:cNvPr id="4" name="文本框 4"/>
                        <wps:cNvSpPr txBox="1"/>
                        <wps:spPr>
                          <a:xfrm>
                            <a:off x="5760" y="471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针对性的巡视指导</w:t>
                              </w:r>
                            </w:p>
                          </w:txbxContent>
                        </wps:txbx>
                        <wps:bodyPr upright="1"/>
                      </wps:wsp>
                      <wps:wsp>
                        <wps:cNvPr id="5" name="文本框 5"/>
                        <wps:cNvSpPr txBox="1"/>
                        <wps:spPr>
                          <a:xfrm>
                            <a:off x="2700" y="549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序列化的互动交流</w:t>
                              </w:r>
                            </w:p>
                          </w:txbxContent>
                        </wps:txbx>
                        <wps:bodyPr upright="1"/>
                      </wps:wsp>
                      <wps:wsp>
                        <wps:cNvPr id="6" name="文本框 6"/>
                        <wps:cNvSpPr txBox="1"/>
                        <wps:spPr>
                          <a:xfrm>
                            <a:off x="5760" y="549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结构化的资源呈现</w:t>
                              </w:r>
                            </w:p>
                          </w:txbxContent>
                        </wps:txbx>
                        <wps:bodyPr upright="1"/>
                      </wps:wsp>
                      <wps:wsp>
                        <wps:cNvPr id="7" name="文本框 7"/>
                        <wps:cNvSpPr txBox="1"/>
                        <wps:spPr>
                          <a:xfrm>
                            <a:off x="2700" y="627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自主化的思想感悟</w:t>
                              </w:r>
                            </w:p>
                          </w:txbxContent>
                        </wps:txbx>
                        <wps:bodyPr upright="1"/>
                      </wps:wsp>
                      <wps:wsp>
                        <wps:cNvPr id="8" name="文本框 8"/>
                        <wps:cNvSpPr txBox="1"/>
                        <wps:spPr>
                          <a:xfrm>
                            <a:off x="5760" y="6276"/>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 w:val="24"/>
                                </w:rPr>
                                <w:t>顺应性的总结提炼</w:t>
                              </w:r>
                            </w:p>
                          </w:txbxContent>
                        </wps:txbx>
                        <wps:bodyPr upright="1"/>
                      </wps:wsp>
                      <wps:wsp>
                        <wps:cNvPr id="9" name="文本框 9"/>
                        <wps:cNvSpPr txBox="1"/>
                        <wps:spPr>
                          <a:xfrm>
                            <a:off x="2700" y="3459"/>
                            <a:ext cx="2340" cy="468"/>
                          </a:xfrm>
                          <a:prstGeom prst="rect">
                            <a:avLst/>
                          </a:prstGeom>
                          <a:solidFill>
                            <a:srgbClr val="FFFFFF"/>
                          </a:solidFill>
                          <a:ln>
                            <a:noFill/>
                          </a:ln>
                        </wps:spPr>
                        <wps:txbx>
                          <w:txbxContent>
                            <w:p>
                              <w:pPr>
                                <w:jc w:val="center"/>
                                <w:rPr>
                                  <w:rFonts w:ascii="黑体" w:hAnsi="黑体" w:eastAsia="黑体"/>
                                  <w:sz w:val="24"/>
                                </w:rPr>
                              </w:pPr>
                              <w:r>
                                <w:rPr>
                                  <w:rFonts w:ascii="黑体" w:hAnsi="黑体" w:eastAsia="黑体"/>
                                  <w:sz w:val="24"/>
                                </w:rPr>
                                <w:t>学生活动</w:t>
                              </w:r>
                            </w:p>
                          </w:txbxContent>
                        </wps:txbx>
                        <wps:bodyPr upright="1"/>
                      </wps:wsp>
                      <wps:wsp>
                        <wps:cNvPr id="10" name="文本框 10"/>
                        <wps:cNvSpPr txBox="1"/>
                        <wps:spPr>
                          <a:xfrm>
                            <a:off x="5760" y="3459"/>
                            <a:ext cx="2340" cy="468"/>
                          </a:xfrm>
                          <a:prstGeom prst="rect">
                            <a:avLst/>
                          </a:prstGeom>
                          <a:solidFill>
                            <a:srgbClr val="FFFFFF"/>
                          </a:solidFill>
                          <a:ln>
                            <a:noFill/>
                          </a:ln>
                        </wps:spPr>
                        <wps:txbx>
                          <w:txbxContent>
                            <w:p>
                              <w:pPr>
                                <w:jc w:val="center"/>
                                <w:rPr>
                                  <w:rFonts w:ascii="黑体" w:hAnsi="黑体" w:eastAsia="黑体"/>
                                  <w:sz w:val="24"/>
                                </w:rPr>
                              </w:pPr>
                              <w:r>
                                <w:rPr>
                                  <w:rFonts w:ascii="黑体" w:hAnsi="黑体" w:eastAsia="黑体"/>
                                  <w:sz w:val="24"/>
                                </w:rPr>
                                <w:t>教师活动</w:t>
                              </w:r>
                            </w:p>
                          </w:txbxContent>
                        </wps:txbx>
                        <wps:bodyPr upright="1"/>
                      </wps:wsp>
                      <wps:wsp>
                        <wps:cNvPr id="11" name="直接连接符 11"/>
                        <wps:cNvCnPr/>
                        <wps:spPr>
                          <a:xfrm>
                            <a:off x="3780" y="4404"/>
                            <a:ext cx="0" cy="30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CnPr/>
                        <wps:spPr>
                          <a:xfrm>
                            <a:off x="3780" y="5184"/>
                            <a:ext cx="0" cy="30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a:off x="3780" y="5964"/>
                            <a:ext cx="0" cy="30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a:off x="6840" y="5964"/>
                            <a:ext cx="0" cy="300"/>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CnPr/>
                        <wps:spPr>
                          <a:xfrm>
                            <a:off x="6840" y="5184"/>
                            <a:ext cx="0" cy="30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6840" y="4404"/>
                            <a:ext cx="0" cy="300"/>
                          </a:xfrm>
                          <a:prstGeom prst="line">
                            <a:avLst/>
                          </a:prstGeom>
                          <a:ln w="9525" cap="flat" cmpd="sng">
                            <a:solidFill>
                              <a:srgbClr val="000000"/>
                            </a:solidFill>
                            <a:prstDash val="solid"/>
                            <a:headEnd type="none" w="med" len="med"/>
                            <a:tailEnd type="triangle" w="med" len="med"/>
                          </a:ln>
                        </wps:spPr>
                        <wps:bodyPr upright="1"/>
                      </wps:wsp>
                      <wps:wsp>
                        <wps:cNvPr id="17" name="直接连接符 17"/>
                        <wps:cNvCnPr/>
                        <wps:spPr>
                          <a:xfrm>
                            <a:off x="5040" y="4173"/>
                            <a:ext cx="720" cy="0"/>
                          </a:xfrm>
                          <a:prstGeom prst="line">
                            <a:avLst/>
                          </a:prstGeom>
                          <a:ln w="9525" cap="flat" cmpd="sng">
                            <a:solidFill>
                              <a:srgbClr val="000000"/>
                            </a:solidFill>
                            <a:prstDash val="dash"/>
                            <a:headEnd type="none" w="med" len="med"/>
                            <a:tailEnd type="none" w="med" len="med"/>
                          </a:ln>
                        </wps:spPr>
                        <wps:bodyPr upright="1"/>
                      </wps:wsp>
                      <wps:wsp>
                        <wps:cNvPr id="18" name="直接连接符 18"/>
                        <wps:cNvCnPr/>
                        <wps:spPr>
                          <a:xfrm>
                            <a:off x="5040" y="4953"/>
                            <a:ext cx="720" cy="0"/>
                          </a:xfrm>
                          <a:prstGeom prst="line">
                            <a:avLst/>
                          </a:prstGeom>
                          <a:ln w="9525" cap="flat" cmpd="sng">
                            <a:solidFill>
                              <a:srgbClr val="000000"/>
                            </a:solidFill>
                            <a:prstDash val="dash"/>
                            <a:headEnd type="none" w="med" len="med"/>
                            <a:tailEnd type="none" w="med" len="med"/>
                          </a:ln>
                        </wps:spPr>
                        <wps:bodyPr upright="1"/>
                      </wps:wsp>
                      <wps:wsp>
                        <wps:cNvPr id="19" name="直接连接符 19"/>
                        <wps:cNvCnPr/>
                        <wps:spPr>
                          <a:xfrm>
                            <a:off x="5040" y="5727"/>
                            <a:ext cx="720" cy="0"/>
                          </a:xfrm>
                          <a:prstGeom prst="line">
                            <a:avLst/>
                          </a:prstGeom>
                          <a:ln w="9525" cap="flat" cmpd="sng">
                            <a:solidFill>
                              <a:srgbClr val="000000"/>
                            </a:solidFill>
                            <a:prstDash val="dash"/>
                            <a:headEnd type="none" w="med" len="med"/>
                            <a:tailEnd type="none" w="med" len="med"/>
                          </a:ln>
                        </wps:spPr>
                        <wps:bodyPr upright="1"/>
                      </wps:wsp>
                      <wps:wsp>
                        <wps:cNvPr id="20" name="直接连接符 20"/>
                        <wps:cNvCnPr/>
                        <wps:spPr>
                          <a:xfrm>
                            <a:off x="5040" y="6492"/>
                            <a:ext cx="720" cy="0"/>
                          </a:xfrm>
                          <a:prstGeom prst="line">
                            <a:avLst/>
                          </a:prstGeom>
                          <a:ln w="9525" cap="flat" cmpd="sng">
                            <a:solidFill>
                              <a:srgbClr val="000000"/>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63pt;margin-top:11.8pt;height:164.25pt;width:270pt;z-index:251659264;mso-width-relative:page;mso-height-relative:page;" coordorigin="2700,3459" coordsize="5400,3285" o:gfxdata="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">
                <o:lock v:ext="edit" aspectratio="f"/>
                <v:shape id="_x0000_s1026" o:spid="_x0000_s1026" o:spt="202" type="#_x0000_t202" style="position:absolute;left:2700;top:3936;height:468;width:2340;"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ascii="宋体" w:hAnsi="宋体"/>
                            <w:sz w:val="24"/>
                          </w:rPr>
                          <w:t>情境性的激活经验</w:t>
                        </w:r>
                      </w:p>
                    </w:txbxContent>
                  </v:textbox>
                </v:shape>
                <v:shape id="_x0000_s1026" o:spid="_x0000_s1026" o:spt="202" type="#_x0000_t202" style="position:absolute;left:5760;top:3936;height:468;width:234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ascii="宋体" w:hAnsi="宋体"/>
                            <w:sz w:val="24"/>
                          </w:rPr>
                          <w:t>问题化的有向引导</w:t>
                        </w:r>
                      </w:p>
                    </w:txbxContent>
                  </v:textbox>
                </v:shape>
                <v:shape id="_x0000_s1026" o:spid="_x0000_s1026" o:spt="202" type="#_x0000_t202" style="position:absolute;left:2700;top:4716;height:468;width:234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ascii="宋体" w:hAnsi="宋体"/>
                            <w:sz w:val="24"/>
                          </w:rPr>
                          <w:t>个性化的自主探索</w:t>
                        </w:r>
                      </w:p>
                    </w:txbxContent>
                  </v:textbox>
                </v:shape>
                <v:shape id="_x0000_s1026" o:spid="_x0000_s1026" o:spt="202" type="#_x0000_t202" style="position:absolute;left:5760;top:4716;height:468;width:234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ascii="宋体" w:hAnsi="宋体"/>
                            <w:sz w:val="24"/>
                          </w:rPr>
                          <w:t>针对性的巡视指导</w:t>
                        </w:r>
                      </w:p>
                    </w:txbxContent>
                  </v:textbox>
                </v:shape>
                <v:shape id="_x0000_s1026" o:spid="_x0000_s1026" o:spt="202" type="#_x0000_t202" style="position:absolute;left:2700;top:5496;height:468;width:234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ascii="宋体" w:hAnsi="宋体"/>
                            <w:sz w:val="24"/>
                          </w:rPr>
                          <w:t>序列化的互动交流</w:t>
                        </w:r>
                      </w:p>
                    </w:txbxContent>
                  </v:textbox>
                </v:shape>
                <v:shape id="_x0000_s1026" o:spid="_x0000_s1026" o:spt="202" type="#_x0000_t202" style="position:absolute;left:5760;top:5496;height:468;width:23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ascii="宋体" w:hAnsi="宋体"/>
                            <w:sz w:val="24"/>
                          </w:rPr>
                          <w:t>结构化的资源呈现</w:t>
                        </w:r>
                      </w:p>
                    </w:txbxContent>
                  </v:textbox>
                </v:shape>
                <v:shape id="_x0000_s1026" o:spid="_x0000_s1026" o:spt="202" type="#_x0000_t202" style="position:absolute;left:2700;top:6276;height:468;width:234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ascii="宋体" w:hAnsi="宋体"/>
                            <w:sz w:val="24"/>
                          </w:rPr>
                          <w:t>自主化的思想感悟</w:t>
                        </w:r>
                      </w:p>
                    </w:txbxContent>
                  </v:textbox>
                </v:shape>
                <v:shape id="_x0000_s1026" o:spid="_x0000_s1026" o:spt="202" type="#_x0000_t202" style="position:absolute;left:5760;top:6276;height:468;width:234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ascii="宋体" w:hAnsi="宋体"/>
                            <w:sz w:val="24"/>
                          </w:rPr>
                          <w:t>顺应性的总结提炼</w:t>
                        </w:r>
                      </w:p>
                    </w:txbxContent>
                  </v:textbox>
                </v:shape>
                <v:shape id="_x0000_s1026" o:spid="_x0000_s1026" o:spt="202" type="#_x0000_t202" style="position:absolute;left:2700;top:3459;height:468;width:2340;"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rPr>
                            <w:rFonts w:ascii="黑体" w:hAnsi="黑体" w:eastAsia="黑体"/>
                            <w:sz w:val="24"/>
                          </w:rPr>
                        </w:pPr>
                        <w:r>
                          <w:rPr>
                            <w:rFonts w:ascii="黑体" w:hAnsi="黑体" w:eastAsia="黑体"/>
                            <w:sz w:val="24"/>
                          </w:rPr>
                          <w:t>学生活动</w:t>
                        </w:r>
                      </w:p>
                    </w:txbxContent>
                  </v:textbox>
                </v:shape>
                <v:shape id="_x0000_s1026" o:spid="_x0000_s1026" o:spt="202" type="#_x0000_t202" style="position:absolute;left:5760;top:3459;height:468;width:2340;" fillcolor="#FFFFFF" filled="t" stroked="f" coordsize="21600,21600" o:gfxdata="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qhy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rFonts w:ascii="黑体" w:hAnsi="黑体" w:eastAsia="黑体"/>
                            <w:sz w:val="24"/>
                          </w:rPr>
                        </w:pPr>
                        <w:r>
                          <w:rPr>
                            <w:rFonts w:ascii="黑体" w:hAnsi="黑体" w:eastAsia="黑体"/>
                            <w:sz w:val="24"/>
                          </w:rPr>
                          <w:t>教师活动</w:t>
                        </w:r>
                      </w:p>
                    </w:txbxContent>
                  </v:textbox>
                </v:shape>
                <v:line id="_x0000_s1026" o:spid="_x0000_s1026" o:spt="20" style="position:absolute;left:3780;top:4404;height:300;width: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780;top:5184;height:300;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780;top:5964;height:300;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6840;top:5964;height:300;width: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6840;top:5184;height:300;width: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6840;top:4404;height:300;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040;top:4173;height:0;width:720;" filled="f" stroked="t" coordsize="21600,21600" o:gfxdata="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2Sj4LsAAADb&#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_x0000_s1026" o:spid="_x0000_s1026" o:spt="20" style="position:absolute;left:5040;top:4953;height:0;width:720;" filled="f" stroked="t" coordsize="21600,21600" o:gfxdata="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s3kr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line id="_x0000_s1026" o:spid="_x0000_s1026" o:spt="20" style="position:absolute;left:5040;top:5727;height:0;width:720;" filled="f" stroked="t" coordsize="21600,21600" o:gfxdata="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eSCbsAAADb&#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line id="_x0000_s1026" o:spid="_x0000_s1026" o:spt="20" style="position:absolute;left:5040;top:6492;height:0;width:720;" filled="f" stroked="t" coordsize="21600,21600" o:gfxdata="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HxKbsAAADb&#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sz w:val="24"/>
          <w:lang w:val="en-US" w:eastAsia="zh-CN"/>
        </w:rPr>
      </w:pPr>
      <w:r>
        <w:rPr>
          <w:rFonts w:hint="eastAsia" w:ascii="宋体" w:hAnsi="宋体"/>
          <w:sz w:val="24"/>
          <w:lang w:val="en-US" w:eastAsia="zh-CN"/>
        </w:rPr>
        <w:t>3.结合课题,在研究中成长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sz w:val="24"/>
          <w:lang w:val="en-US" w:eastAsia="zh-CN"/>
        </w:rPr>
      </w:pPr>
      <w:r>
        <w:rPr>
          <w:rFonts w:hint="eastAsia" w:ascii="宋体" w:hAnsi="宋体"/>
          <w:sz w:val="24"/>
          <w:lang w:eastAsia="zh-CN"/>
        </w:rPr>
        <w:t>高云《小学数学分类思想方法渗透》发表于《少年素质教育报》</w:t>
      </w:r>
      <w:r>
        <w:rPr>
          <w:rFonts w:hint="eastAsia" w:ascii="宋体" w:hAnsi="宋体"/>
          <w:sz w:val="24"/>
          <w:lang w:val="en-US" w:eastAsia="zh-CN"/>
        </w:rPr>
        <w:t>2021.11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sz w:val="24"/>
          <w:lang w:val="en-US" w:eastAsia="zh-CN"/>
        </w:rPr>
      </w:pPr>
      <w:r>
        <w:rPr>
          <w:rFonts w:hint="eastAsia" w:ascii="宋体" w:hAnsi="宋体"/>
          <w:sz w:val="24"/>
          <w:lang w:eastAsia="zh-CN"/>
        </w:rPr>
        <w:t>陈春香《小学数学思想方法渗透探析》发表于</w:t>
      </w:r>
      <w:r>
        <w:rPr>
          <w:rFonts w:hint="default" w:ascii="宋体" w:hAnsi="宋体"/>
          <w:sz w:val="24"/>
          <w:lang w:val="en-US" w:eastAsia="zh-CN"/>
        </w:rPr>
        <w:t>《</w:t>
      </w:r>
      <w:r>
        <w:rPr>
          <w:rFonts w:hint="eastAsia" w:ascii="宋体" w:hAnsi="宋体"/>
          <w:sz w:val="24"/>
          <w:lang w:val="en-US" w:eastAsia="zh-CN"/>
        </w:rPr>
        <w:t>中国教师</w:t>
      </w:r>
      <w:r>
        <w:rPr>
          <w:rFonts w:hint="default" w:ascii="宋体" w:hAnsi="宋体"/>
          <w:sz w:val="24"/>
          <w:lang w:val="en-US" w:eastAsia="zh-CN"/>
        </w:rPr>
        <w:t>》</w:t>
      </w:r>
      <w:r>
        <w:rPr>
          <w:rFonts w:hint="eastAsia" w:ascii="宋体" w:hAnsi="宋体"/>
          <w:sz w:val="24"/>
          <w:lang w:val="en-US" w:eastAsia="zh-CN"/>
        </w:rPr>
        <w:t>2022</w:t>
      </w:r>
      <w:r>
        <w:rPr>
          <w:rFonts w:hint="default" w:ascii="宋体" w:hAnsi="宋体"/>
          <w:sz w:val="24"/>
          <w:lang w:eastAsia="zh-CN"/>
        </w:rPr>
        <w:t>第</w:t>
      </w:r>
      <w:r>
        <w:rPr>
          <w:rFonts w:hint="eastAsia" w:ascii="宋体" w:hAnsi="宋体"/>
          <w:sz w:val="24"/>
          <w:lang w:val="en-US" w:eastAsia="zh-CN"/>
        </w:rPr>
        <w:t>1</w:t>
      </w:r>
      <w:r>
        <w:rPr>
          <w:rFonts w:hint="default" w:ascii="宋体" w:hAnsi="宋体"/>
          <w:sz w:val="24"/>
          <w:lang w:eastAsia="zh-CN"/>
        </w:rPr>
        <w:t>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val="en-US" w:eastAsia="zh-CN"/>
        </w:rPr>
      </w:pPr>
      <w:r>
        <w:rPr>
          <w:rFonts w:hint="default" w:ascii="宋体" w:hAnsi="宋体"/>
          <w:sz w:val="24"/>
          <w:lang w:eastAsia="zh-CN"/>
        </w:rPr>
        <w:t>黄卓群《基于“双减”背景下的数学教学探赜》</w:t>
      </w:r>
      <w:r>
        <w:rPr>
          <w:rFonts w:hint="eastAsia" w:ascii="宋体" w:hAnsi="宋体"/>
          <w:sz w:val="24"/>
          <w:lang w:eastAsia="zh-CN"/>
        </w:rPr>
        <w:t>发表于</w:t>
      </w:r>
      <w:r>
        <w:rPr>
          <w:rFonts w:hint="default" w:ascii="宋体" w:hAnsi="宋体"/>
          <w:sz w:val="24"/>
          <w:lang w:eastAsia="zh-CN"/>
        </w:rPr>
        <w:t>《教学与研究》2021第27期</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eastAsia="zh-CN"/>
        </w:rPr>
      </w:pPr>
      <w:r>
        <w:rPr>
          <w:rFonts w:hint="eastAsia" w:ascii="宋体" w:hAnsi="宋体"/>
          <w:sz w:val="24"/>
          <w:lang w:val="en-US" w:eastAsia="zh-CN"/>
        </w:rPr>
        <w:t>洪步云《借助画图法 指导学生解决问题》发表于</w:t>
      </w:r>
      <w:r>
        <w:rPr>
          <w:rFonts w:hint="default" w:ascii="宋体" w:hAnsi="宋体"/>
          <w:sz w:val="24"/>
          <w:lang w:eastAsia="zh-CN"/>
        </w:rPr>
        <w:t>《教学与研究》2021</w:t>
      </w:r>
      <w:r>
        <w:rPr>
          <w:rFonts w:hint="eastAsia" w:ascii="宋体" w:hAnsi="宋体"/>
          <w:sz w:val="24"/>
          <w:lang w:eastAsia="zh-CN"/>
        </w:rPr>
        <w:t>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sz w:val="24"/>
          <w:lang w:val="en-US" w:eastAsia="zh-CN"/>
        </w:rPr>
      </w:pPr>
      <w:r>
        <w:rPr>
          <w:rFonts w:hint="eastAsia" w:ascii="宋体" w:hAnsi="宋体"/>
          <w:sz w:val="24"/>
          <w:lang w:eastAsia="zh-CN"/>
        </w:rPr>
        <w:t>洪步云《双减政策背景下小学数学作业布置创新探究》发表于《快乐学习报》</w:t>
      </w:r>
      <w:r>
        <w:rPr>
          <w:rFonts w:hint="eastAsia" w:ascii="宋体" w:hAnsi="宋体"/>
          <w:sz w:val="24"/>
          <w:lang w:val="en-US" w:eastAsia="zh-CN"/>
        </w:rPr>
        <w:t>2022.6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val="en-US" w:eastAsia="zh-CN"/>
        </w:rPr>
      </w:pPr>
      <w:r>
        <w:rPr>
          <w:rFonts w:hint="default" w:ascii="宋体" w:hAnsi="宋体"/>
          <w:sz w:val="24"/>
          <w:lang w:eastAsia="zh-CN"/>
        </w:rPr>
        <w:t>黄卓群</w:t>
      </w:r>
      <w:r>
        <w:rPr>
          <w:rFonts w:hint="eastAsia" w:ascii="宋体" w:hAnsi="宋体"/>
          <w:sz w:val="24"/>
          <w:lang w:val="en-US" w:eastAsia="zh-CN"/>
        </w:rPr>
        <w:t>《聚焦核心素养，经历规律探索</w:t>
      </w:r>
      <w:r>
        <w:rPr>
          <w:rFonts w:hint="default" w:ascii="宋体" w:hAnsi="宋体"/>
          <w:sz w:val="24"/>
          <w:lang w:val="en-US" w:eastAsia="zh-CN"/>
        </w:rPr>
        <w:t>——</w:t>
      </w:r>
      <w:r>
        <w:rPr>
          <w:rFonts w:hint="eastAsia" w:ascii="宋体" w:hAnsi="宋体"/>
          <w:sz w:val="24"/>
          <w:lang w:val="en-US" w:eastAsia="zh-CN"/>
        </w:rPr>
        <w:t>以苏教版</w:t>
      </w:r>
      <w:r>
        <w:rPr>
          <w:rFonts w:hint="default" w:ascii="宋体" w:hAnsi="宋体"/>
          <w:sz w:val="24"/>
          <w:lang w:val="en-US" w:eastAsia="zh-CN"/>
        </w:rPr>
        <w:t>&lt;</w:t>
      </w:r>
      <w:r>
        <w:rPr>
          <w:rFonts w:hint="eastAsia" w:ascii="宋体" w:hAnsi="宋体"/>
          <w:sz w:val="24"/>
          <w:lang w:val="en-US" w:eastAsia="zh-CN"/>
        </w:rPr>
        <w:t>间隔排列</w:t>
      </w:r>
      <w:r>
        <w:rPr>
          <w:rFonts w:hint="default" w:ascii="宋体" w:hAnsi="宋体"/>
          <w:sz w:val="24"/>
          <w:lang w:val="en-US" w:eastAsia="zh-CN"/>
        </w:rPr>
        <w:t>&gt;</w:t>
      </w:r>
      <w:r>
        <w:rPr>
          <w:rFonts w:hint="eastAsia" w:ascii="宋体" w:hAnsi="宋体"/>
          <w:sz w:val="24"/>
          <w:lang w:val="en-US" w:eastAsia="zh-CN"/>
        </w:rPr>
        <w:t>一课为例》获区小数年会论文一等奖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val="en-US" w:eastAsia="zh-CN"/>
        </w:rPr>
      </w:pPr>
      <w:r>
        <w:rPr>
          <w:rFonts w:hint="default" w:ascii="宋体" w:hAnsi="宋体"/>
          <w:sz w:val="24"/>
          <w:lang w:eastAsia="zh-CN"/>
        </w:rPr>
        <w:t>黄卓</w:t>
      </w:r>
      <w:r>
        <w:rPr>
          <w:rFonts w:hint="default" w:ascii="宋体" w:hAnsi="宋体"/>
          <w:sz w:val="24"/>
          <w:lang w:val="en-US" w:eastAsia="zh-CN"/>
        </w:rPr>
        <w:t>群金坛区小学数学新教师教材解读单项评比</w:t>
      </w:r>
      <w:r>
        <w:rPr>
          <w:rFonts w:hint="eastAsia" w:ascii="宋体" w:hAnsi="宋体"/>
          <w:sz w:val="24"/>
          <w:lang w:val="en-US" w:eastAsia="zh-CN"/>
        </w:rPr>
        <w:t>”一等奖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lang w:val="en-US" w:eastAsia="zh-CN"/>
        </w:rPr>
      </w:pPr>
      <w:r>
        <w:rPr>
          <w:rFonts w:hint="default" w:ascii="宋体" w:hAnsi="宋体"/>
          <w:sz w:val="24"/>
          <w:lang w:val="en-US" w:eastAsia="zh-CN"/>
        </w:rPr>
        <w:t>黄卓群金坛区小学数学新教师教材解读单项评比</w:t>
      </w:r>
      <w:r>
        <w:rPr>
          <w:rFonts w:hint="eastAsia" w:ascii="宋体" w:hAnsi="宋体"/>
          <w:sz w:val="24"/>
          <w:lang w:val="en-US" w:eastAsia="zh-CN"/>
        </w:rPr>
        <w:t>二等奖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42" w:firstLineChars="225"/>
        <w:textAlignment w:val="auto"/>
        <w:rPr>
          <w:rFonts w:hint="eastAsia" w:ascii="宋体" w:hAnsi="宋体"/>
          <w:b/>
          <w:bCs/>
          <w:sz w:val="24"/>
        </w:rPr>
      </w:pPr>
      <w:r>
        <w:rPr>
          <w:rFonts w:hint="eastAsia" w:ascii="宋体" w:hAnsi="宋体"/>
          <w:b/>
          <w:bCs/>
          <w:sz w:val="24"/>
          <w:lang w:eastAsia="zh-CN"/>
        </w:rPr>
        <w:t>八</w:t>
      </w:r>
      <w:r>
        <w:rPr>
          <w:rFonts w:hint="eastAsia" w:ascii="宋体" w:hAnsi="宋体"/>
          <w:b/>
          <w:bCs/>
          <w:sz w:val="24"/>
        </w:rPr>
        <w:t>、存在的困难</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w:t>1. 由于课题组成员课题研究的经验不足和水平限制，课题研究涉及面不广，</w:t>
      </w:r>
      <w:r>
        <w:rPr>
          <w:rFonts w:hint="eastAsia" w:ascii="宋体" w:hAnsi="宋体"/>
          <w:sz w:val="24"/>
          <w:lang w:eastAsia="zh-CN"/>
        </w:rPr>
        <w:t>虽然有课例研究的组织结构，但在课例研究内容的选择上还是不够精准</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w:t>2.教师手头承担的工作太杂乱，无法潜心课题研究，很多工作做的较浅，深入研究不够。</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w:t>3.由于时间紧，学校工作任务繁重，前一阶段虽然进行了大量的研究工作，但是课件、教学设计、教学随笔等没有及时上传。</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eastAsiaTheme="minorEastAsia"/>
          <w:sz w:val="24"/>
          <w:lang w:eastAsia="zh-CN"/>
        </w:rPr>
      </w:pPr>
      <w:r>
        <w:rPr>
          <w:rFonts w:hint="eastAsia" w:ascii="宋体" w:hAnsi="宋体"/>
          <w:sz w:val="24"/>
        </w:rPr>
        <w:t>4．</w:t>
      </w:r>
      <w:r>
        <w:rPr>
          <w:rFonts w:hint="eastAsia" w:ascii="宋体" w:hAnsi="宋体"/>
          <w:sz w:val="24"/>
          <w:lang w:eastAsia="zh-CN"/>
        </w:rPr>
        <w:t>学生发展的评价标准该怎么确定？分类</w:t>
      </w:r>
      <w:r>
        <w:rPr>
          <w:rFonts w:hint="eastAsia" w:ascii="宋体" w:hAnsi="宋体"/>
          <w:sz w:val="24"/>
        </w:rPr>
        <w:t>思想的渗透能否在短期内看出效果？通过研究我们发现</w:t>
      </w:r>
      <w:r>
        <w:rPr>
          <w:rFonts w:hint="eastAsia" w:ascii="宋体" w:hAnsi="宋体"/>
          <w:sz w:val="24"/>
          <w:lang w:eastAsia="zh-CN"/>
        </w:rPr>
        <w:t>分类思想</w:t>
      </w:r>
      <w:r>
        <w:rPr>
          <w:rFonts w:hint="eastAsia" w:ascii="宋体" w:hAnsi="宋体"/>
          <w:sz w:val="24"/>
        </w:rPr>
        <w:t>应用是一种能力，与“跳得高”“跑得快”的运动能力一样，是人在数学学习中的一项本领，但对学生立竿见影的影响并未显现。</w:t>
      </w:r>
    </w:p>
    <w:p>
      <w:pPr>
        <w:keepNext w:val="0"/>
        <w:keepLines w:val="0"/>
        <w:pageBreakBefore w:val="0"/>
        <w:widowControl w:val="0"/>
        <w:kinsoku/>
        <w:wordWrap/>
        <w:overflowPunct/>
        <w:topLinePunct w:val="0"/>
        <w:autoSpaceDE/>
        <w:autoSpaceDN/>
        <w:bidi w:val="0"/>
        <w:adjustRightInd/>
        <w:snapToGrid/>
        <w:spacing w:line="440" w:lineRule="exact"/>
        <w:ind w:firstLine="542" w:firstLineChars="225"/>
        <w:textAlignment w:val="auto"/>
        <w:rPr>
          <w:rFonts w:hint="eastAsia" w:ascii="宋体" w:hAnsi="宋体"/>
          <w:b/>
          <w:bCs/>
          <w:sz w:val="24"/>
        </w:rPr>
      </w:pPr>
      <w:r>
        <w:rPr>
          <w:rFonts w:hint="eastAsia" w:ascii="宋体" w:hAnsi="宋体"/>
          <w:b/>
          <w:bCs/>
          <w:sz w:val="24"/>
          <w:lang w:eastAsia="zh-CN"/>
        </w:rPr>
        <w:t>九</w:t>
      </w:r>
      <w:r>
        <w:rPr>
          <w:rFonts w:hint="eastAsia" w:ascii="宋体" w:hAnsi="宋体"/>
          <w:b/>
          <w:bCs/>
          <w:sz w:val="24"/>
        </w:rPr>
        <w:t>、下一步研究工作安排</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w:t>1．课题组成员继续学习《数学课程标准》和《小学数学思想的梳理》等教育专著和相关理论；</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w:t>2．课题组成员要加大参与研讨课的力度，</w:t>
      </w:r>
      <w:r>
        <w:rPr>
          <w:rFonts w:hint="eastAsia" w:ascii="宋体" w:hAnsi="宋体"/>
          <w:sz w:val="24"/>
          <w:lang w:eastAsia="zh-CN"/>
        </w:rPr>
        <w:t>对于教材中的典型课例开展研究，并创编相应习题，</w:t>
      </w:r>
      <w:r>
        <w:rPr>
          <w:rFonts w:hint="eastAsia" w:ascii="宋体" w:hAnsi="宋体"/>
          <w:sz w:val="24"/>
        </w:rPr>
        <w:t>积极与同行交流，积极参加上级主管部门组织的数学教研活动，努力提升个人素质，更好地服务教学；</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w:t>3．课题组成员继续撰写教学研究论文、教学案例、教学设计，对平时教学实践中渗透</w:t>
      </w:r>
      <w:r>
        <w:rPr>
          <w:rFonts w:hint="eastAsia" w:ascii="宋体" w:hAnsi="宋体"/>
          <w:sz w:val="24"/>
          <w:lang w:eastAsia="zh-CN"/>
        </w:rPr>
        <w:t>分类</w:t>
      </w:r>
      <w:r>
        <w:rPr>
          <w:rFonts w:hint="eastAsia" w:ascii="宋体" w:hAnsi="宋体"/>
          <w:sz w:val="24"/>
        </w:rPr>
        <w:t>思想的实践进行认真反思总结；</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宋体" w:hAnsi="宋体"/>
          <w:sz w:val="24"/>
        </w:rPr>
      </w:pPr>
      <w:r>
        <w:rPr>
          <w:rFonts w:hint="eastAsia" w:ascii="宋体" w:hAnsi="宋体"/>
          <w:sz w:val="24"/>
        </w:rPr>
        <w:t>4．注意收集活动资料、成果资料，为课题的总结做好准备。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86CC1"/>
    <w:multiLevelType w:val="singleLevel"/>
    <w:tmpl w:val="5C286C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Njg4Y2JmZTE3MGFlYWFlZmZhMDMxNzdmZGU3NWUifQ=="/>
  </w:docVars>
  <w:rsids>
    <w:rsidRoot w:val="2F4358A3"/>
    <w:rsid w:val="0A216696"/>
    <w:rsid w:val="0E984675"/>
    <w:rsid w:val="10B959E3"/>
    <w:rsid w:val="1C4E77C9"/>
    <w:rsid w:val="21935C7E"/>
    <w:rsid w:val="2F4358A3"/>
    <w:rsid w:val="3CE40514"/>
    <w:rsid w:val="3CFB4687"/>
    <w:rsid w:val="40F300AD"/>
    <w:rsid w:val="42A544ED"/>
    <w:rsid w:val="486C0E54"/>
    <w:rsid w:val="5B1625A5"/>
    <w:rsid w:val="635051A2"/>
    <w:rsid w:val="6AEC50D0"/>
    <w:rsid w:val="6C620CE0"/>
    <w:rsid w:val="6CEF187E"/>
    <w:rsid w:val="7A1270FD"/>
    <w:rsid w:val="7D1043E3"/>
    <w:rsid w:val="7D8B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5937</Words>
  <Characters>5995</Characters>
  <Lines>0</Lines>
  <Paragraphs>0</Paragraphs>
  <TotalTime>1</TotalTime>
  <ScaleCrop>false</ScaleCrop>
  <LinksUpToDate>false</LinksUpToDate>
  <CharactersWithSpaces>6144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2022-10-20T06:54:00Z</dcterms:created>
  <dc:creator>鵬大</dc:creator>
  <cp:lastModifiedBy>鵬大</cp:lastModifiedBy>
  <dcterms:modified xsi:type="dcterms:W3CDTF">2022-11-12T13:45:51Z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8227F8FD7864414FB47C4D90178A09F1</vt:lpwstr>
  </property>
</Properties>
</file>